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9A566F" w14:textId="36191AE0" w:rsidR="001841B1" w:rsidRDefault="001841B1" w:rsidP="001841B1">
      <w:pPr>
        <w:pStyle w:val="CRCoverPage"/>
        <w:tabs>
          <w:tab w:val="right" w:pos="9639"/>
        </w:tabs>
        <w:spacing w:after="0"/>
        <w:rPr>
          <w:b/>
          <w:bCs/>
          <w:noProof/>
          <w:sz w:val="24"/>
          <w:szCs w:val="24"/>
        </w:rPr>
      </w:pPr>
      <w:bookmarkStart w:id="0" w:name="_Ref462675860"/>
      <w:r w:rsidRPr="0C1B321D">
        <w:rPr>
          <w:b/>
          <w:bCs/>
          <w:noProof/>
          <w:sz w:val="24"/>
          <w:szCs w:val="24"/>
        </w:rPr>
        <w:t>3GPP TSG-RAN4 Meeting #11</w:t>
      </w:r>
      <w:r>
        <w:rPr>
          <w:b/>
          <w:bCs/>
          <w:noProof/>
          <w:sz w:val="24"/>
          <w:szCs w:val="24"/>
        </w:rPr>
        <w:t>2bis</w:t>
      </w:r>
      <w:r>
        <w:tab/>
      </w:r>
      <w:r w:rsidR="00174A48" w:rsidRPr="00174A48">
        <w:rPr>
          <w:b/>
          <w:bCs/>
          <w:noProof/>
          <w:sz w:val="24"/>
          <w:szCs w:val="24"/>
        </w:rPr>
        <w:t>R4-2415469</w:t>
      </w:r>
    </w:p>
    <w:p w14:paraId="5389AA48" w14:textId="06F2B0A7" w:rsidR="00447550" w:rsidRPr="00C13DA6" w:rsidRDefault="001841B1" w:rsidP="001841B1">
      <w:pPr>
        <w:rPr>
          <w:rFonts w:ascii="Arial" w:hAnsi="Arial" w:cs="Arial"/>
          <w:b/>
        </w:rPr>
      </w:pPr>
      <w:r w:rsidRPr="00A01738">
        <w:rPr>
          <w:rFonts w:ascii="Arial" w:hAnsi="Arial" w:cs="Arial"/>
          <w:b/>
          <w:sz w:val="24"/>
          <w:szCs w:val="24"/>
          <w:lang w:eastAsia="zh-CN"/>
        </w:rPr>
        <w:t>Hefei,</w:t>
      </w:r>
      <w:r>
        <w:rPr>
          <w:rFonts w:ascii="Arial" w:hAnsi="Arial" w:cs="Arial"/>
          <w:b/>
          <w:sz w:val="24"/>
          <w:szCs w:val="24"/>
          <w:lang w:eastAsia="zh-CN"/>
        </w:rPr>
        <w:t xml:space="preserve"> Anhui,</w:t>
      </w:r>
      <w:r w:rsidRPr="00A01738">
        <w:rPr>
          <w:rFonts w:ascii="Arial" w:hAnsi="Arial" w:cs="Arial"/>
          <w:b/>
          <w:sz w:val="24"/>
          <w:szCs w:val="24"/>
          <w:lang w:eastAsia="zh-CN"/>
        </w:rPr>
        <w:t xml:space="preserve"> </w:t>
      </w:r>
      <w:r>
        <w:rPr>
          <w:rFonts w:ascii="Arial" w:hAnsi="Arial" w:cs="Arial"/>
          <w:b/>
          <w:sz w:val="24"/>
          <w:szCs w:val="24"/>
          <w:lang w:eastAsia="zh-CN"/>
        </w:rPr>
        <w:t>China</w:t>
      </w:r>
      <w:r w:rsidRPr="0C1B321D">
        <w:rPr>
          <w:rFonts w:ascii="Arial" w:hAnsi="Arial" w:cs="Arial"/>
          <w:b/>
          <w:bCs/>
          <w:sz w:val="24"/>
          <w:szCs w:val="24"/>
          <w:lang w:eastAsia="zh-CN"/>
        </w:rPr>
        <w:t>, 1</w:t>
      </w:r>
      <w:r>
        <w:rPr>
          <w:rFonts w:ascii="Arial" w:hAnsi="Arial" w:cs="Arial"/>
          <w:b/>
          <w:bCs/>
          <w:sz w:val="24"/>
          <w:szCs w:val="24"/>
          <w:lang w:eastAsia="zh-CN"/>
        </w:rPr>
        <w:t>4</w:t>
      </w:r>
      <w:r w:rsidRPr="0C1B321D">
        <w:rPr>
          <w:rFonts w:ascii="Arial" w:hAnsi="Arial" w:cs="Arial"/>
          <w:b/>
          <w:bCs/>
          <w:sz w:val="24"/>
          <w:szCs w:val="24"/>
          <w:vertAlign w:val="superscript"/>
          <w:lang w:eastAsia="zh-CN"/>
        </w:rPr>
        <w:t>th</w:t>
      </w:r>
      <w:r w:rsidRPr="0C1B321D">
        <w:rPr>
          <w:rFonts w:ascii="Arial" w:hAnsi="Arial" w:cs="Arial"/>
          <w:b/>
          <w:bCs/>
          <w:sz w:val="24"/>
          <w:szCs w:val="24"/>
          <w:lang w:eastAsia="zh-CN"/>
        </w:rPr>
        <w:t xml:space="preserve"> –</w:t>
      </w:r>
      <w:r>
        <w:rPr>
          <w:rFonts w:ascii="Arial" w:hAnsi="Arial" w:cs="Arial"/>
          <w:b/>
          <w:bCs/>
          <w:sz w:val="24"/>
          <w:szCs w:val="24"/>
          <w:lang w:eastAsia="zh-CN"/>
        </w:rPr>
        <w:t xml:space="preserve"> </w:t>
      </w:r>
      <w:r w:rsidRPr="0C1B321D">
        <w:rPr>
          <w:rFonts w:ascii="Arial" w:hAnsi="Arial" w:cs="Arial"/>
          <w:b/>
          <w:bCs/>
          <w:sz w:val="24"/>
          <w:szCs w:val="24"/>
          <w:lang w:eastAsia="zh-CN"/>
        </w:rPr>
        <w:t>1</w:t>
      </w:r>
      <w:r>
        <w:rPr>
          <w:rFonts w:ascii="Arial" w:hAnsi="Arial" w:cs="Arial"/>
          <w:b/>
          <w:bCs/>
          <w:sz w:val="24"/>
          <w:szCs w:val="24"/>
          <w:lang w:eastAsia="zh-CN"/>
        </w:rPr>
        <w:t>8</w:t>
      </w:r>
      <w:r w:rsidRPr="0C1B321D">
        <w:rPr>
          <w:rFonts w:ascii="Arial" w:hAnsi="Arial" w:cs="Arial"/>
          <w:b/>
          <w:bCs/>
          <w:sz w:val="24"/>
          <w:szCs w:val="24"/>
          <w:vertAlign w:val="superscript"/>
          <w:lang w:eastAsia="zh-CN"/>
        </w:rPr>
        <w:t>th</w:t>
      </w:r>
      <w:r w:rsidRPr="0C1B321D">
        <w:rPr>
          <w:rFonts w:ascii="Arial" w:hAnsi="Arial" w:cs="Arial"/>
          <w:b/>
          <w:bCs/>
          <w:sz w:val="24"/>
          <w:szCs w:val="24"/>
          <w:lang w:eastAsia="zh-CN"/>
        </w:rPr>
        <w:t xml:space="preserve"> </w:t>
      </w:r>
      <w:r>
        <w:rPr>
          <w:rFonts w:ascii="Arial" w:hAnsi="Arial" w:cs="Arial"/>
          <w:b/>
          <w:bCs/>
          <w:sz w:val="24"/>
          <w:szCs w:val="24"/>
          <w:lang w:eastAsia="zh-CN"/>
        </w:rPr>
        <w:t>October</w:t>
      </w:r>
      <w:r w:rsidRPr="0C1B321D">
        <w:rPr>
          <w:rFonts w:ascii="Arial" w:hAnsi="Arial" w:cs="Arial"/>
          <w:b/>
          <w:bCs/>
          <w:sz w:val="24"/>
          <w:szCs w:val="24"/>
          <w:lang w:eastAsia="zh-CN"/>
        </w:rPr>
        <w:t>, 2024</w:t>
      </w:r>
      <w:r w:rsidR="00447550">
        <w:rPr>
          <w:rFonts w:cs="Arial"/>
          <w:b/>
          <w:sz w:val="24"/>
        </w:rPr>
        <w:br/>
      </w:r>
    </w:p>
    <w:p w14:paraId="75E5446D" w14:textId="32844BCC" w:rsidR="00A37CEF" w:rsidRPr="00785E35" w:rsidRDefault="00A37CEF" w:rsidP="002A0877">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FE5EE9">
        <w:rPr>
          <w:rFonts w:ascii="Arial" w:hAnsi="Arial"/>
          <w:sz w:val="24"/>
        </w:rPr>
        <w:t>6</w:t>
      </w:r>
      <w:r w:rsidR="006B0E0F">
        <w:rPr>
          <w:rFonts w:ascii="Arial" w:hAnsi="Arial"/>
          <w:sz w:val="24"/>
        </w:rPr>
        <w:t>.</w:t>
      </w:r>
      <w:r w:rsidR="00FE5EE9">
        <w:rPr>
          <w:rFonts w:ascii="Arial" w:hAnsi="Arial"/>
          <w:sz w:val="24"/>
        </w:rPr>
        <w:t>20</w:t>
      </w:r>
      <w:r w:rsidR="006B0E0F">
        <w:rPr>
          <w:rFonts w:ascii="Arial" w:hAnsi="Arial"/>
          <w:sz w:val="24"/>
        </w:rPr>
        <w:t>.</w:t>
      </w:r>
      <w:r w:rsidR="00560D4B">
        <w:rPr>
          <w:rFonts w:ascii="Arial" w:hAnsi="Arial"/>
          <w:sz w:val="24"/>
        </w:rPr>
        <w:t>2.</w:t>
      </w:r>
      <w:r w:rsidR="00CE5C29">
        <w:rPr>
          <w:rFonts w:ascii="Arial" w:hAnsi="Arial"/>
          <w:sz w:val="24"/>
        </w:rPr>
        <w:t>2</w:t>
      </w:r>
    </w:p>
    <w:p w14:paraId="777EF737" w14:textId="77777777" w:rsidR="00A37CEF" w:rsidRPr="00785E35" w:rsidRDefault="00A37CEF" w:rsidP="002A0877">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5CDEEF4A" w14:textId="4F3EA821" w:rsidR="00A37CEF" w:rsidRPr="00785E35" w:rsidRDefault="00A37CEF" w:rsidP="002A0877">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582C3B">
        <w:rPr>
          <w:rFonts w:ascii="Arial" w:hAnsi="Arial"/>
          <w:sz w:val="24"/>
        </w:rPr>
        <w:t xml:space="preserve">Views on </w:t>
      </w:r>
      <w:r w:rsidR="006F730F">
        <w:rPr>
          <w:rFonts w:ascii="Arial" w:hAnsi="Arial"/>
          <w:sz w:val="24"/>
        </w:rPr>
        <w:t xml:space="preserve">existing </w:t>
      </w:r>
      <w:r w:rsidR="00CE5C29">
        <w:rPr>
          <w:rFonts w:ascii="Arial" w:hAnsi="Arial"/>
          <w:sz w:val="24"/>
        </w:rPr>
        <w:t xml:space="preserve">Tx </w:t>
      </w:r>
      <w:r w:rsidR="006F730F">
        <w:rPr>
          <w:rFonts w:ascii="Arial" w:hAnsi="Arial"/>
          <w:sz w:val="24"/>
        </w:rPr>
        <w:t>BS RF requirements</w:t>
      </w:r>
      <w:r w:rsidR="007E49C0">
        <w:rPr>
          <w:rFonts w:ascii="Arial" w:hAnsi="Arial"/>
          <w:sz w:val="24"/>
        </w:rPr>
        <w:t xml:space="preserve"> for </w:t>
      </w:r>
      <w:r w:rsidR="006F730F">
        <w:rPr>
          <w:rFonts w:ascii="Arial" w:hAnsi="Arial"/>
          <w:sz w:val="24"/>
        </w:rPr>
        <w:t>SBFD</w:t>
      </w:r>
    </w:p>
    <w:p w14:paraId="6F8EE2E4" w14:textId="2FD7F559" w:rsidR="00A37CEF" w:rsidRPr="00785E35" w:rsidRDefault="00A37CEF" w:rsidP="002A0877">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00705014">
        <w:rPr>
          <w:rFonts w:ascii="Arial" w:hAnsi="Arial"/>
          <w:sz w:val="24"/>
        </w:rPr>
        <w:t>Approval</w:t>
      </w:r>
      <w:r w:rsidR="00E02445">
        <w:rPr>
          <w:rFonts w:ascii="Arial" w:hAnsi="Arial"/>
          <w:sz w:val="24"/>
        </w:rPr>
        <w:t xml:space="preserve"> </w:t>
      </w:r>
    </w:p>
    <w:p w14:paraId="57A32C14" w14:textId="77777777" w:rsidR="00A37CEF" w:rsidRPr="00785E35" w:rsidRDefault="00A37CEF" w:rsidP="002A0877">
      <w:pPr>
        <w:pStyle w:val="Heading1"/>
        <w:jc w:val="both"/>
      </w:pPr>
      <w:bookmarkStart w:id="3" w:name="_Ref465963108"/>
      <w:r w:rsidRPr="00785E35">
        <w:t>Introduction</w:t>
      </w:r>
      <w:bookmarkEnd w:id="0"/>
      <w:bookmarkEnd w:id="3"/>
    </w:p>
    <w:p w14:paraId="16D1D869" w14:textId="400BAE13" w:rsidR="00A37CEF" w:rsidRPr="005C6CB9" w:rsidRDefault="00A37CEF" w:rsidP="002A0877">
      <w:pPr>
        <w:spacing w:after="120" w:line="259" w:lineRule="auto"/>
        <w:ind w:right="-101"/>
        <w:jc w:val="both"/>
        <w:rPr>
          <w:rFonts w:eastAsia="Malgun Gothic"/>
          <w:lang w:val="en-CA" w:eastAsia="ko-KR"/>
        </w:rPr>
      </w:pPr>
      <w:r>
        <w:t xml:space="preserve">In </w:t>
      </w:r>
      <w:r w:rsidRPr="00785E35">
        <w:t>RAN#</w:t>
      </w:r>
      <w:r>
        <w:t>102</w:t>
      </w:r>
      <w:r w:rsidRPr="00785E35">
        <w:t xml:space="preserve">, the </w:t>
      </w:r>
      <w:r>
        <w:t>work</w:t>
      </w:r>
      <w:r w:rsidRPr="00785E35">
        <w:t xml:space="preserve"> item on </w:t>
      </w:r>
      <w:r>
        <w:t>e</w:t>
      </w:r>
      <w:r w:rsidRPr="00EB0730">
        <w:t>volution of NR duplex operation</w:t>
      </w:r>
      <w:r w:rsidR="009534D5">
        <w:t xml:space="preserve"> </w:t>
      </w:r>
      <w:r w:rsidRPr="00E95917">
        <w:t>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w:t>
      </w:r>
      <w:r>
        <w:t xml:space="preserve"> </w:t>
      </w:r>
      <w:r w:rsidR="00F44EF7">
        <w:t xml:space="preserve">From RAN4 </w:t>
      </w:r>
      <w:r w:rsidR="0023172D">
        <w:t xml:space="preserve">RF </w:t>
      </w:r>
      <w:r w:rsidR="00F44EF7">
        <w:t>perspective, t</w:t>
      </w:r>
      <w:r w:rsidRPr="00177BCB">
        <w:t xml:space="preserve">he objective of </w:t>
      </w:r>
      <w:r>
        <w:t xml:space="preserve">the work item is </w:t>
      </w:r>
      <w:r w:rsidR="00E8553E">
        <w:t>as follows:</w:t>
      </w:r>
      <w:r>
        <w:t xml:space="preserve"> </w:t>
      </w:r>
    </w:p>
    <w:tbl>
      <w:tblPr>
        <w:tblStyle w:val="TableGrid"/>
        <w:tblW w:w="0" w:type="auto"/>
        <w:tblLook w:val="04A0" w:firstRow="1" w:lastRow="0" w:firstColumn="1" w:lastColumn="0" w:noHBand="0" w:noVBand="1"/>
      </w:tblPr>
      <w:tblGrid>
        <w:gridCol w:w="9962"/>
      </w:tblGrid>
      <w:tr w:rsidR="00A37CEF" w14:paraId="110D1ACE" w14:textId="77777777" w:rsidTr="00255BB3">
        <w:tc>
          <w:tcPr>
            <w:tcW w:w="9962" w:type="dxa"/>
          </w:tcPr>
          <w:p w14:paraId="0B67DFFB" w14:textId="77777777" w:rsidR="00A37CEF" w:rsidRDefault="00A37CEF" w:rsidP="002A0877">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EFF3E7D" w14:textId="5B49ACDB" w:rsidR="00A37CEF" w:rsidRPr="0023172D" w:rsidRDefault="00E8553E" w:rsidP="0023172D">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Specify BS RF requirements for SBFD operation at gNB [RAN4]</w:t>
            </w:r>
          </w:p>
        </w:tc>
      </w:tr>
    </w:tbl>
    <w:p w14:paraId="3EC9F8B3" w14:textId="77777777" w:rsidR="00A37CEF" w:rsidRPr="00785E35" w:rsidRDefault="00A37CEF" w:rsidP="002A0877">
      <w:pPr>
        <w:jc w:val="both"/>
      </w:pPr>
    </w:p>
    <w:p w14:paraId="6556B6C7" w14:textId="0B879ADA" w:rsidR="00A37CEF" w:rsidRDefault="003B2119" w:rsidP="002A0877">
      <w:pPr>
        <w:jc w:val="both"/>
      </w:pPr>
      <w:r>
        <w:t xml:space="preserve">In RAN4#111, a WF was agreed in [3] based on some of the topics listed in the moderator summary, that is summarized in [2]. In this contribution, </w:t>
      </w:r>
      <w:r w:rsidR="00A37CEF">
        <w:t xml:space="preserve">we </w:t>
      </w:r>
      <w:r w:rsidR="00EB7153">
        <w:t xml:space="preserve">share our views on </w:t>
      </w:r>
      <w:r w:rsidR="002E21FA">
        <w:t xml:space="preserve">existing BS RF requirements </w:t>
      </w:r>
      <w:r w:rsidR="00EF49CD">
        <w:t xml:space="preserve">for Rel-19 SBFD. </w:t>
      </w:r>
    </w:p>
    <w:p w14:paraId="7ACEA9AF" w14:textId="18116DF3" w:rsidR="00D15EE0" w:rsidRDefault="00D15EE0" w:rsidP="00D15EE0">
      <w:pPr>
        <w:pStyle w:val="Heading1"/>
      </w:pPr>
      <w:r>
        <w:t xml:space="preserve">Discussion </w:t>
      </w:r>
    </w:p>
    <w:p w14:paraId="1E1B9BFC" w14:textId="5F6D7F8C" w:rsidR="00543C13" w:rsidRDefault="002D6C8C" w:rsidP="00D15EE0">
      <w:pPr>
        <w:pStyle w:val="Heading2"/>
      </w:pPr>
      <w:r>
        <w:t xml:space="preserve">ACLR and OBUE </w:t>
      </w:r>
    </w:p>
    <w:p w14:paraId="70D08469" w14:textId="77777777" w:rsidR="00767151" w:rsidRDefault="00767151" w:rsidP="0091595A">
      <w:pPr>
        <w:jc w:val="both"/>
        <w:rPr>
          <w:lang w:val="en-GB"/>
        </w:rPr>
      </w:pPr>
      <w:r>
        <w:rPr>
          <w:lang w:val="en-GB"/>
        </w:rPr>
        <w:t xml:space="preserve">In [2], the following was agreed: </w:t>
      </w:r>
    </w:p>
    <w:tbl>
      <w:tblPr>
        <w:tblStyle w:val="TableGrid"/>
        <w:tblW w:w="0" w:type="auto"/>
        <w:tblLook w:val="04A0" w:firstRow="1" w:lastRow="0" w:firstColumn="1" w:lastColumn="0" w:noHBand="0" w:noVBand="1"/>
      </w:tblPr>
      <w:tblGrid>
        <w:gridCol w:w="9962"/>
      </w:tblGrid>
      <w:tr w:rsidR="00767151" w14:paraId="1F1620A4" w14:textId="77777777" w:rsidTr="00767151">
        <w:tc>
          <w:tcPr>
            <w:tcW w:w="9962" w:type="dxa"/>
          </w:tcPr>
          <w:p w14:paraId="17871F13" w14:textId="77777777" w:rsidR="006565AF" w:rsidRPr="006565AF" w:rsidRDefault="006565AF" w:rsidP="0091595A">
            <w:pPr>
              <w:pStyle w:val="ListParagraph"/>
              <w:numPr>
                <w:ilvl w:val="0"/>
                <w:numId w:val="30"/>
              </w:numPr>
              <w:overflowPunct w:val="0"/>
              <w:autoSpaceDE w:val="0"/>
              <w:autoSpaceDN w:val="0"/>
              <w:adjustRightInd w:val="0"/>
              <w:spacing w:before="0"/>
              <w:ind w:hanging="357"/>
              <w:textAlignment w:val="baseline"/>
              <w:rPr>
                <w:rFonts w:ascii="Times New Roman" w:eastAsiaTheme="minorEastAsia" w:hAnsi="Times New Roman"/>
                <w:sz w:val="20"/>
                <w:szCs w:val="20"/>
              </w:rPr>
            </w:pPr>
            <w:r w:rsidRPr="006565AF">
              <w:rPr>
                <w:rFonts w:ascii="Times New Roman" w:eastAsiaTheme="minorEastAsia" w:hAnsi="Times New Roman"/>
                <w:sz w:val="20"/>
                <w:szCs w:val="20"/>
              </w:rPr>
              <w:t>FFS on the followings:</w:t>
            </w:r>
          </w:p>
          <w:p w14:paraId="5B066323" w14:textId="74A1F94A" w:rsidR="00767151" w:rsidRPr="006565AF" w:rsidRDefault="006565AF" w:rsidP="0091595A">
            <w:pPr>
              <w:pStyle w:val="ListParagraph"/>
              <w:numPr>
                <w:ilvl w:val="1"/>
                <w:numId w:val="30"/>
              </w:numPr>
              <w:overflowPunct w:val="0"/>
              <w:autoSpaceDE w:val="0"/>
              <w:autoSpaceDN w:val="0"/>
              <w:adjustRightInd w:val="0"/>
              <w:spacing w:before="0"/>
              <w:ind w:hanging="357"/>
              <w:textAlignment w:val="baseline"/>
              <w:rPr>
                <w:rFonts w:eastAsiaTheme="minorEastAsia"/>
              </w:rPr>
            </w:pPr>
            <w:r w:rsidRPr="006565AF">
              <w:rPr>
                <w:rFonts w:ascii="Times New Roman" w:hAnsi="Times New Roman"/>
                <w:color w:val="000000" w:themeColor="text1"/>
                <w:sz w:val="20"/>
                <w:szCs w:val="20"/>
              </w:rPr>
              <w:t>For FR1 macro deployments, when coexisting with new SBFD system in adjacent channel, RAN4 to define additional ACLR and/or OBUE requirement to ensure feasible coexistence with SBFD-capable gNB. The assumption for the victim BS DESENS and CL of BS2BS is FFS.</w:t>
            </w:r>
          </w:p>
        </w:tc>
      </w:tr>
    </w:tbl>
    <w:p w14:paraId="5A30BD21" w14:textId="2920F7D6" w:rsidR="00516597" w:rsidRPr="00516597" w:rsidRDefault="00516597" w:rsidP="0091595A">
      <w:pPr>
        <w:jc w:val="both"/>
        <w:rPr>
          <w:b/>
          <w:bCs/>
          <w:lang w:val="en-GB"/>
        </w:rPr>
      </w:pPr>
      <w:r w:rsidRPr="00516597">
        <w:rPr>
          <w:b/>
          <w:bCs/>
          <w:lang w:val="en-GB"/>
        </w:rPr>
        <w:t xml:space="preserve"> </w:t>
      </w:r>
    </w:p>
    <w:p w14:paraId="240D0A67" w14:textId="760029D1" w:rsidR="00A12CCE" w:rsidRDefault="002137C2" w:rsidP="0091595A">
      <w:pPr>
        <w:spacing w:before="120"/>
        <w:jc w:val="both"/>
      </w:pPr>
      <w:r>
        <w:rPr>
          <w:lang w:val="en-GB"/>
        </w:rPr>
        <w:t xml:space="preserve">In Section 11 in [4], RAN4 has concluded that outcome of the SBFD and legacy TDD adjacent channel coexistence. </w:t>
      </w:r>
      <w:r w:rsidR="00A12CCE">
        <w:rPr>
          <w:lang w:val="en-GB"/>
        </w:rPr>
        <w:t xml:space="preserve">To ensure feasible coexistence, </w:t>
      </w:r>
      <w:r w:rsidR="00A12CCE">
        <w:t xml:space="preserve">RAN4 has concluded that no coexistence issues are identified when coexisting with legacy TDD systems in the adjacent channel. This under the working condition, considered in Rel-19 normative phase, that the SBFD is allowed to be operated in DL and Flexible symbols. Accordingly, adopting legacy ACLR requirement should ensure feasible adjacent channel coexistence.  </w:t>
      </w:r>
    </w:p>
    <w:p w14:paraId="0F81D010" w14:textId="4818B6A9" w:rsidR="008F1778" w:rsidRPr="00A12CCE" w:rsidRDefault="00A12CCE" w:rsidP="0091595A">
      <w:pPr>
        <w:jc w:val="both"/>
        <w:rPr>
          <w:b/>
          <w:bCs/>
          <w:lang w:val="en-GB"/>
        </w:rPr>
      </w:pPr>
      <w:r w:rsidRPr="00A12CCE">
        <w:rPr>
          <w:b/>
          <w:bCs/>
          <w:u w:val="single"/>
          <w:lang w:val="en-GB"/>
        </w:rPr>
        <w:t>Observation 1</w:t>
      </w:r>
      <w:r w:rsidRPr="00A12CCE">
        <w:rPr>
          <w:b/>
          <w:bCs/>
          <w:lang w:val="en-GB"/>
        </w:rPr>
        <w:t>: Adopting legacy gNB ACLR requirement for the SBFD-</w:t>
      </w:r>
      <w:r w:rsidR="00A84824" w:rsidRPr="00A12CCE">
        <w:rPr>
          <w:b/>
          <w:bCs/>
          <w:lang w:val="en-GB"/>
        </w:rPr>
        <w:t>capable</w:t>
      </w:r>
      <w:r w:rsidRPr="00A12CCE">
        <w:rPr>
          <w:b/>
          <w:bCs/>
          <w:lang w:val="en-GB"/>
        </w:rPr>
        <w:t xml:space="preserve"> gNB is sufficient to ensure feasible coexistence with adjacent channel deployed legacy TDD systems. </w:t>
      </w:r>
    </w:p>
    <w:p w14:paraId="0AFEA166" w14:textId="62811DD6" w:rsidR="002137C2" w:rsidRDefault="00A12CCE" w:rsidP="0091595A">
      <w:pPr>
        <w:jc w:val="both"/>
        <w:rPr>
          <w:rFonts w:eastAsiaTheme="minorEastAsia"/>
          <w:lang w:eastAsia="zh-CN"/>
        </w:rPr>
      </w:pPr>
      <w:r>
        <w:rPr>
          <w:rFonts w:eastAsiaTheme="minorEastAsia"/>
          <w:lang w:eastAsia="zh-CN"/>
        </w:rPr>
        <w:t xml:space="preserve">On the other hand, </w:t>
      </w:r>
      <w:r w:rsidR="00B42584">
        <w:rPr>
          <w:rFonts w:eastAsiaTheme="minorEastAsia"/>
          <w:lang w:eastAsia="zh-CN"/>
        </w:rPr>
        <w:t>f</w:t>
      </w:r>
      <w:r w:rsidR="002137C2">
        <w:rPr>
          <w:rFonts w:eastAsiaTheme="minorEastAsia"/>
          <w:lang w:eastAsia="zh-CN"/>
        </w:rPr>
        <w:t xml:space="preserve">or the </w:t>
      </w:r>
      <w:r w:rsidR="006E4349">
        <w:rPr>
          <w:rFonts w:eastAsiaTheme="minorEastAsia"/>
          <w:lang w:eastAsia="zh-CN"/>
        </w:rPr>
        <w:t xml:space="preserve">coexistence case </w:t>
      </w:r>
      <w:r w:rsidR="002137C2">
        <w:rPr>
          <w:rFonts w:eastAsiaTheme="minorEastAsia"/>
          <w:lang w:eastAsia="zh-CN"/>
        </w:rPr>
        <w:t xml:space="preserve">with </w:t>
      </w:r>
      <w:r w:rsidR="006E4349">
        <w:rPr>
          <w:rFonts w:eastAsiaTheme="minorEastAsia"/>
          <w:lang w:eastAsia="zh-CN"/>
        </w:rPr>
        <w:t xml:space="preserve">gNB-capable </w:t>
      </w:r>
      <w:r w:rsidR="002137C2">
        <w:rPr>
          <w:rFonts w:eastAsiaTheme="minorEastAsia"/>
          <w:lang w:eastAsia="zh-CN"/>
        </w:rPr>
        <w:t xml:space="preserve">SBFD BS in the adjacent channel, RAN4 </w:t>
      </w:r>
      <w:r w:rsidR="006E4349">
        <w:rPr>
          <w:rFonts w:eastAsiaTheme="minorEastAsia"/>
          <w:lang w:eastAsia="zh-CN"/>
        </w:rPr>
        <w:t>has identified coexistence challenges due to inter-gNB CLI</w:t>
      </w:r>
      <w:r w:rsidR="00176A56">
        <w:rPr>
          <w:rFonts w:eastAsiaTheme="minorEastAsia"/>
          <w:lang w:eastAsia="zh-CN"/>
        </w:rPr>
        <w:t xml:space="preserve"> on the UL subbands. Within the SI phase, </w:t>
      </w:r>
      <w:r w:rsidR="00ED2FC1">
        <w:rPr>
          <w:rFonts w:eastAsiaTheme="minorEastAsia"/>
          <w:lang w:eastAsia="zh-CN"/>
        </w:rPr>
        <w:t xml:space="preserve">RAN4 has considered only ACIR enhancements as a solution to ensure </w:t>
      </w:r>
      <w:r w:rsidR="00460D91">
        <w:rPr>
          <w:rFonts w:eastAsiaTheme="minorEastAsia"/>
          <w:lang w:eastAsia="zh-CN"/>
        </w:rPr>
        <w:t xml:space="preserve">feasible coexistence. </w:t>
      </w:r>
    </w:p>
    <w:p w14:paraId="55C94CAB" w14:textId="03478315" w:rsidR="000C5F0B" w:rsidRPr="00A12CCE" w:rsidRDefault="000C5F0B" w:rsidP="0091595A">
      <w:pPr>
        <w:jc w:val="both"/>
        <w:rPr>
          <w:b/>
          <w:bCs/>
          <w:lang w:val="en-GB"/>
        </w:rPr>
      </w:pPr>
      <w:r w:rsidRPr="00A12CCE">
        <w:rPr>
          <w:b/>
          <w:bCs/>
          <w:u w:val="single"/>
          <w:lang w:val="en-GB"/>
        </w:rPr>
        <w:t xml:space="preserve">Observation </w:t>
      </w:r>
      <w:r>
        <w:rPr>
          <w:b/>
          <w:bCs/>
          <w:u w:val="single"/>
          <w:lang w:val="en-GB"/>
        </w:rPr>
        <w:t>2</w:t>
      </w:r>
      <w:r w:rsidRPr="00A12CCE">
        <w:rPr>
          <w:b/>
          <w:bCs/>
          <w:lang w:val="en-GB"/>
        </w:rPr>
        <w:t xml:space="preserve">: </w:t>
      </w:r>
      <w:r>
        <w:rPr>
          <w:b/>
          <w:bCs/>
          <w:lang w:val="en-GB"/>
        </w:rPr>
        <w:t xml:space="preserve">When coexisting with SBFD-capable gNB, legacy ACLR requirement might not be sufficient to ensure feasible coexistence. Additionally, RAN4 has only considered ACIR enhancement as a possible solution during the SI phase. </w:t>
      </w:r>
    </w:p>
    <w:p w14:paraId="276CBA8F" w14:textId="2F75669C" w:rsidR="002137C2" w:rsidRDefault="00B93F55" w:rsidP="0091595A">
      <w:pPr>
        <w:jc w:val="both"/>
        <w:rPr>
          <w:rFonts w:eastAsiaTheme="minorEastAsia"/>
          <w:lang w:eastAsia="zh-CN"/>
        </w:rPr>
      </w:pPr>
      <w:r>
        <w:rPr>
          <w:rFonts w:eastAsiaTheme="minorEastAsia"/>
          <w:lang w:eastAsia="zh-CN"/>
        </w:rPr>
        <w:lastRenderedPageBreak/>
        <w:t>As a way forward, it is viable to consider urban macro deployment since it is the most challenging deployment scenario</w:t>
      </w:r>
      <w:r w:rsidR="00633573">
        <w:rPr>
          <w:rFonts w:eastAsiaTheme="minorEastAsia"/>
          <w:lang w:eastAsia="zh-CN"/>
        </w:rPr>
        <w:t xml:space="preserve">. </w:t>
      </w:r>
      <w:r w:rsidR="007354CE">
        <w:rPr>
          <w:rFonts w:eastAsiaTheme="minorEastAsia"/>
          <w:lang w:eastAsia="zh-CN"/>
        </w:rPr>
        <w:t xml:space="preserve">RAN4 then should consider a </w:t>
      </w:r>
      <w:r w:rsidR="00191713">
        <w:rPr>
          <w:rFonts w:eastAsiaTheme="minorEastAsia"/>
          <w:lang w:eastAsia="zh-CN"/>
        </w:rPr>
        <w:t>case where additional new ACLR requirement is considered to allow feasible coexistence with new SBFD-capable gNB</w:t>
      </w:r>
      <w:r w:rsidR="00CA463A">
        <w:rPr>
          <w:rFonts w:eastAsiaTheme="minorEastAsia"/>
          <w:lang w:eastAsia="zh-CN"/>
        </w:rPr>
        <w:t xml:space="preserve"> while assuming 1 dB desensitization</w:t>
      </w:r>
      <w:r w:rsidR="00191713">
        <w:rPr>
          <w:rFonts w:eastAsiaTheme="minorEastAsia"/>
          <w:lang w:eastAsia="zh-CN"/>
        </w:rPr>
        <w:t xml:space="preserve">. </w:t>
      </w:r>
    </w:p>
    <w:p w14:paraId="1E3B8324" w14:textId="720A7048" w:rsidR="00040198" w:rsidRDefault="00666011" w:rsidP="0091595A">
      <w:pPr>
        <w:jc w:val="both"/>
        <w:rPr>
          <w:rFonts w:eastAsiaTheme="minorEastAsia"/>
          <w:b/>
          <w:bCs/>
          <w:lang w:eastAsia="zh-CN"/>
        </w:rPr>
      </w:pPr>
      <w:r w:rsidRPr="00666011">
        <w:rPr>
          <w:rFonts w:eastAsiaTheme="minorEastAsia"/>
          <w:b/>
          <w:bCs/>
          <w:u w:val="single"/>
          <w:lang w:eastAsia="zh-CN"/>
        </w:rPr>
        <w:t>Proposal 1</w:t>
      </w:r>
      <w:r w:rsidRPr="00666011">
        <w:rPr>
          <w:rFonts w:eastAsiaTheme="minorEastAsia"/>
          <w:b/>
          <w:bCs/>
          <w:lang w:eastAsia="zh-CN"/>
        </w:rPr>
        <w:t xml:space="preserve">: RAN4 to consider additional ACLR requirement </w:t>
      </w:r>
      <w:r w:rsidR="00A84824">
        <w:rPr>
          <w:rFonts w:eastAsiaTheme="minorEastAsia"/>
          <w:b/>
          <w:bCs/>
          <w:lang w:eastAsia="zh-CN"/>
        </w:rPr>
        <w:t xml:space="preserve">assuming 1 dB desensitization </w:t>
      </w:r>
      <w:r w:rsidRPr="00666011">
        <w:rPr>
          <w:rFonts w:eastAsiaTheme="minorEastAsia"/>
          <w:b/>
          <w:bCs/>
          <w:lang w:eastAsia="zh-CN"/>
        </w:rPr>
        <w:t xml:space="preserve">to ensure feasible coexistence with SBFD-capable gNB. As a starting point, urban macro deployments should be considered as that represent the challenging scenario. </w:t>
      </w:r>
    </w:p>
    <w:p w14:paraId="0CD9A5D8" w14:textId="71482AB2" w:rsidR="00880F3A" w:rsidRDefault="00880F3A" w:rsidP="0091595A">
      <w:pPr>
        <w:jc w:val="both"/>
        <w:rPr>
          <w:rFonts w:eastAsiaTheme="minorEastAsia"/>
          <w:lang w:eastAsia="zh-CN"/>
        </w:rPr>
      </w:pPr>
      <w:r w:rsidRPr="008F4007">
        <w:rPr>
          <w:rFonts w:eastAsiaTheme="minorEastAsia"/>
          <w:lang w:eastAsia="zh-CN"/>
        </w:rPr>
        <w:t xml:space="preserve">Regarding the CL for inter-gNB CLI, it is a viable approach that RAN4 would consider </w:t>
      </w:r>
      <w:r w:rsidR="008F4007" w:rsidRPr="008F4007">
        <w:rPr>
          <w:rFonts w:eastAsiaTheme="minorEastAsia"/>
          <w:lang w:eastAsia="zh-CN"/>
        </w:rPr>
        <w:t xml:space="preserve">typical CL values based on typical implementation, leveraging the work carried out in the study item phase, specifically, the feasibility study and the adjacent channel coexistence work. </w:t>
      </w:r>
      <w:r w:rsidR="008F4007">
        <w:rPr>
          <w:rFonts w:eastAsiaTheme="minorEastAsia"/>
          <w:lang w:eastAsia="zh-CN"/>
        </w:rPr>
        <w:t xml:space="preserve">Due to the different views on the implementation capabilities and coexistence results, RAN4 should try to agree on typical values that serve as a baseline to derive the new ACLR/OBUE requirements when coexisting with new SBFD-capable gNBs. </w:t>
      </w:r>
    </w:p>
    <w:p w14:paraId="67FBECB9" w14:textId="54FBA208" w:rsidR="008F4007" w:rsidRPr="00237667" w:rsidRDefault="008F4007" w:rsidP="0091595A">
      <w:pPr>
        <w:jc w:val="both"/>
        <w:rPr>
          <w:b/>
          <w:bCs/>
          <w:lang w:eastAsia="zh-CN"/>
        </w:rPr>
      </w:pPr>
      <w:r w:rsidRPr="00237667">
        <w:rPr>
          <w:rFonts w:eastAsiaTheme="minorEastAsia"/>
          <w:b/>
          <w:bCs/>
          <w:u w:val="single"/>
          <w:lang w:eastAsia="zh-CN"/>
        </w:rPr>
        <w:t>Proposal 2</w:t>
      </w:r>
      <w:r w:rsidRPr="00237667">
        <w:rPr>
          <w:rFonts w:eastAsiaTheme="minorEastAsia"/>
          <w:b/>
          <w:bCs/>
          <w:lang w:eastAsia="zh-CN"/>
        </w:rPr>
        <w:t>: Regarding CL for inter-gNB CLI, RAN4 to adopt typical CL values based on typical</w:t>
      </w:r>
      <w:r w:rsidR="00237667" w:rsidRPr="00237667">
        <w:rPr>
          <w:rFonts w:eastAsiaTheme="minorEastAsia"/>
          <w:b/>
          <w:bCs/>
          <w:lang w:eastAsia="zh-CN"/>
        </w:rPr>
        <w:t xml:space="preserve"> SBFD-capable gNB</w:t>
      </w:r>
      <w:r w:rsidRPr="00237667">
        <w:rPr>
          <w:rFonts w:eastAsiaTheme="minorEastAsia"/>
          <w:b/>
          <w:bCs/>
          <w:lang w:eastAsia="zh-CN"/>
        </w:rPr>
        <w:t xml:space="preserve"> implementation</w:t>
      </w:r>
      <w:r w:rsidR="00237667" w:rsidRPr="00237667">
        <w:rPr>
          <w:rFonts w:eastAsiaTheme="minorEastAsia"/>
          <w:b/>
          <w:bCs/>
          <w:lang w:eastAsia="zh-CN"/>
        </w:rPr>
        <w:t xml:space="preserve">. </w:t>
      </w:r>
    </w:p>
    <w:p w14:paraId="5746DF24" w14:textId="77777777" w:rsidR="00EC6A56" w:rsidRPr="0021761F" w:rsidRDefault="00EC6A56" w:rsidP="00D15EE0">
      <w:pPr>
        <w:pStyle w:val="Heading2"/>
        <w:rPr>
          <w:sz w:val="24"/>
        </w:rPr>
      </w:pPr>
      <w:r w:rsidRPr="00A716DD">
        <w:rPr>
          <w:sz w:val="24"/>
        </w:rPr>
        <w:t>Joint measurement for normal DL symbols/slots and SBFD symbols/slots</w:t>
      </w:r>
    </w:p>
    <w:p w14:paraId="7857EE50" w14:textId="796E5A29" w:rsidR="00664464" w:rsidRDefault="00C55129" w:rsidP="000B045F">
      <w:pPr>
        <w:jc w:val="both"/>
      </w:pPr>
      <w:r>
        <w:t>In</w:t>
      </w:r>
      <w:r w:rsidR="00C454CD">
        <w:t xml:space="preserve"> [2], the following was agreed: </w:t>
      </w:r>
    </w:p>
    <w:tbl>
      <w:tblPr>
        <w:tblStyle w:val="TableGrid"/>
        <w:tblW w:w="0" w:type="auto"/>
        <w:tblLook w:val="04A0" w:firstRow="1" w:lastRow="0" w:firstColumn="1" w:lastColumn="0" w:noHBand="0" w:noVBand="1"/>
      </w:tblPr>
      <w:tblGrid>
        <w:gridCol w:w="9962"/>
      </w:tblGrid>
      <w:tr w:rsidR="00C454CD" w14:paraId="05A7C1CA" w14:textId="77777777" w:rsidTr="00C454CD">
        <w:tc>
          <w:tcPr>
            <w:tcW w:w="9962" w:type="dxa"/>
          </w:tcPr>
          <w:p w14:paraId="7F48284B" w14:textId="77777777" w:rsidR="00D15EE0" w:rsidRPr="00D15EE0" w:rsidRDefault="00D15EE0" w:rsidP="00D15EE0">
            <w:pPr>
              <w:pStyle w:val="ListParagraph"/>
              <w:numPr>
                <w:ilvl w:val="0"/>
                <w:numId w:val="30"/>
              </w:numPr>
              <w:overflowPunct w:val="0"/>
              <w:autoSpaceDE w:val="0"/>
              <w:autoSpaceDN w:val="0"/>
              <w:adjustRightInd w:val="0"/>
              <w:spacing w:before="0"/>
              <w:ind w:hanging="357"/>
              <w:textAlignment w:val="baseline"/>
              <w:rPr>
                <w:rFonts w:ascii="Times New Roman" w:eastAsiaTheme="minorEastAsia" w:hAnsi="Times New Roman"/>
                <w:sz w:val="20"/>
                <w:szCs w:val="20"/>
              </w:rPr>
            </w:pPr>
            <w:r w:rsidRPr="00D15EE0">
              <w:rPr>
                <w:rFonts w:ascii="Times New Roman" w:eastAsiaTheme="minorEastAsia" w:hAnsi="Times New Roman"/>
                <w:sz w:val="20"/>
                <w:szCs w:val="20"/>
              </w:rPr>
              <w:t>FFS on the followings:</w:t>
            </w:r>
          </w:p>
          <w:p w14:paraId="0E3EC06E" w14:textId="77777777" w:rsidR="00D15EE0" w:rsidRPr="00D15EE0" w:rsidRDefault="00D15EE0" w:rsidP="00D15EE0">
            <w:pPr>
              <w:pStyle w:val="ListParagraph"/>
              <w:numPr>
                <w:ilvl w:val="1"/>
                <w:numId w:val="30"/>
              </w:numPr>
              <w:overflowPunct w:val="0"/>
              <w:autoSpaceDE w:val="0"/>
              <w:autoSpaceDN w:val="0"/>
              <w:adjustRightInd w:val="0"/>
              <w:spacing w:before="0"/>
              <w:ind w:hanging="357"/>
              <w:textAlignment w:val="baseline"/>
              <w:rPr>
                <w:rFonts w:ascii="Times New Roman" w:eastAsiaTheme="minorEastAsia" w:hAnsi="Times New Roman"/>
                <w:sz w:val="20"/>
                <w:szCs w:val="20"/>
              </w:rPr>
            </w:pPr>
            <w:r w:rsidRPr="00D15EE0">
              <w:rPr>
                <w:rFonts w:ascii="Times New Roman" w:hAnsi="Times New Roman"/>
                <w:color w:val="000000" w:themeColor="text1"/>
                <w:sz w:val="20"/>
                <w:szCs w:val="20"/>
              </w:rPr>
              <w:t>Averaged EVMs for SBFD slots and non-SBFD slots shall be measured separately.</w:t>
            </w:r>
          </w:p>
          <w:p w14:paraId="5A0B7C2D" w14:textId="6DA44EC9" w:rsidR="00C454CD" w:rsidRPr="00D15EE0" w:rsidRDefault="00D15EE0" w:rsidP="00D15EE0">
            <w:pPr>
              <w:pStyle w:val="ListParagraph"/>
              <w:numPr>
                <w:ilvl w:val="1"/>
                <w:numId w:val="30"/>
              </w:numPr>
              <w:overflowPunct w:val="0"/>
              <w:autoSpaceDE w:val="0"/>
              <w:autoSpaceDN w:val="0"/>
              <w:adjustRightInd w:val="0"/>
              <w:spacing w:before="0"/>
              <w:ind w:hanging="357"/>
              <w:textAlignment w:val="baseline"/>
              <w:rPr>
                <w:rFonts w:eastAsiaTheme="minorEastAsia"/>
              </w:rPr>
            </w:pPr>
            <w:r w:rsidRPr="00D15EE0">
              <w:rPr>
                <w:rFonts w:ascii="Times New Roman" w:hAnsi="Times New Roman"/>
                <w:color w:val="000000" w:themeColor="text1"/>
                <w:sz w:val="20"/>
                <w:szCs w:val="20"/>
              </w:rPr>
              <w:t>Averaged EVM for SBFD slots shall be calculated only based on the data samples where DLs are allocated within the SBFD slots. The data samples where ULs are allocated within the SBFD slots shall be removed from the calculation of averaged EVM.</w:t>
            </w:r>
          </w:p>
        </w:tc>
      </w:tr>
    </w:tbl>
    <w:p w14:paraId="513F7F75" w14:textId="77777777" w:rsidR="00C454CD" w:rsidRDefault="00C454CD" w:rsidP="000B045F">
      <w:pPr>
        <w:jc w:val="both"/>
        <w:rPr>
          <w:lang w:eastAsia="zh-CN"/>
        </w:rPr>
      </w:pPr>
    </w:p>
    <w:p w14:paraId="2489BBA5" w14:textId="4EE299AE" w:rsidR="00780BBC" w:rsidRPr="00450148" w:rsidRDefault="004A5F79" w:rsidP="00780BBC">
      <w:pPr>
        <w:rPr>
          <w:color w:val="000000" w:themeColor="text1"/>
          <w:lang w:eastAsia="zh-CN"/>
        </w:rPr>
      </w:pPr>
      <w:r>
        <w:rPr>
          <w:color w:val="000000" w:themeColor="text1"/>
          <w:lang w:eastAsia="zh-CN"/>
        </w:rPr>
        <w:t xml:space="preserve">In TS 38.104, the procedure to calculate the averaged EVM is given in </w:t>
      </w:r>
      <w:r w:rsidR="00780BBC" w:rsidRPr="00450148">
        <w:rPr>
          <w:color w:val="000000" w:themeColor="text1"/>
          <w:lang w:eastAsia="zh-CN"/>
        </w:rPr>
        <w:t xml:space="preserve">Annex B.7 </w:t>
      </w:r>
      <w:r>
        <w:rPr>
          <w:color w:val="000000" w:themeColor="text1"/>
          <w:lang w:eastAsia="zh-CN"/>
        </w:rPr>
        <w:t xml:space="preserve">as follows: </w:t>
      </w:r>
    </w:p>
    <w:tbl>
      <w:tblPr>
        <w:tblStyle w:val="TableGrid"/>
        <w:tblW w:w="0" w:type="auto"/>
        <w:tblLook w:val="04A0" w:firstRow="1" w:lastRow="0" w:firstColumn="1" w:lastColumn="0" w:noHBand="0" w:noVBand="1"/>
      </w:tblPr>
      <w:tblGrid>
        <w:gridCol w:w="9962"/>
      </w:tblGrid>
      <w:tr w:rsidR="004A5F79" w14:paraId="031D80B2" w14:textId="77777777" w:rsidTr="004A5F79">
        <w:tc>
          <w:tcPr>
            <w:tcW w:w="9962" w:type="dxa"/>
          </w:tcPr>
          <w:p w14:paraId="243EEA0E" w14:textId="77777777" w:rsidR="004A5F79" w:rsidRPr="00450148" w:rsidRDefault="004A5F79" w:rsidP="004A5F79">
            <w:pPr>
              <w:rPr>
                <w:i/>
                <w:iCs/>
                <w:color w:val="000000" w:themeColor="text1"/>
                <w:lang w:eastAsia="ko-KR"/>
              </w:rPr>
            </w:pPr>
            <w:r w:rsidRPr="00450148">
              <w:rPr>
                <w:i/>
                <w:iCs/>
                <w:color w:val="000000" w:themeColor="text1"/>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m:t>
                  </m:r>
                </m:sub>
              </m:sSub>
            </m:oMath>
            <w:r w:rsidRPr="00450148">
              <w:rPr>
                <w:rFonts w:eastAsia="Osaka"/>
                <w:i/>
                <w:iCs/>
                <w:color w:val="000000" w:themeColor="text1"/>
              </w:rPr>
              <w:t xml:space="preserve"> slots where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m:t>
                  </m:r>
                </m:sub>
              </m:sSub>
            </m:oMath>
            <w:r w:rsidRPr="00450148">
              <w:rPr>
                <w:rFonts w:eastAsia="Osaka"/>
                <w:i/>
                <w:iCs/>
                <w:color w:val="000000" w:themeColor="text1"/>
              </w:rPr>
              <w:t xml:space="preserve"> is the number of slots in a 10 ms measurement interval</w:t>
            </w:r>
            <w:r w:rsidRPr="00450148">
              <w:rPr>
                <w:i/>
                <w:iCs/>
                <w:color w:val="000000" w:themeColor="text1"/>
                <w:lang w:eastAsia="ko-KR"/>
              </w:rPr>
              <w:t>.</w:t>
            </w:r>
          </w:p>
          <w:p w14:paraId="1CA5EA10" w14:textId="77777777" w:rsidR="004A5F79" w:rsidRPr="00450148" w:rsidRDefault="004A5F79" w:rsidP="004A5F79">
            <w:pPr>
              <w:rPr>
                <w:i/>
                <w:iCs/>
                <w:color w:val="000000" w:themeColor="text1"/>
                <w:lang w:eastAsia="ko-KR"/>
              </w:rPr>
            </w:pPr>
            <w:r w:rsidRPr="00450148">
              <w:rPr>
                <w:i/>
                <w:iCs/>
                <w:color w:val="000000" w:themeColor="text1"/>
                <w:lang w:eastAsia="ko-KR"/>
              </w:rPr>
              <w:t>For TDD, l</w:t>
            </w:r>
            <w:r w:rsidRPr="00450148">
              <w:rPr>
                <w:i/>
                <w:iCs/>
                <w:color w:val="000000" w:themeColor="text1"/>
              </w:rPr>
              <w:t xml:space="preserve">et </w:t>
            </w:r>
            <m:oMath>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dl</m:t>
                  </m:r>
                </m:sub>
                <m:sup>
                  <m:r>
                    <w:rPr>
                      <w:rFonts w:ascii="Cambria Math" w:hAnsi="Cambria Math"/>
                      <w:color w:val="000000" w:themeColor="text1"/>
                      <w:lang w:eastAsia="ko-KR"/>
                    </w:rPr>
                    <m:t>TDD</m:t>
                  </m:r>
                </m:sup>
              </m:sSubSup>
            </m:oMath>
            <w:r w:rsidRPr="00450148">
              <w:rPr>
                <w:i/>
                <w:iCs/>
                <w:color w:val="000000" w:themeColor="text1"/>
                <w:lang w:eastAsia="ko-KR"/>
              </w:rPr>
              <w:t xml:space="preserve"> be the number of </w:t>
            </w:r>
            <w:r w:rsidRPr="00450148">
              <w:rPr>
                <w:i/>
                <w:iCs/>
                <w:color w:val="000000" w:themeColor="text1"/>
              </w:rPr>
              <w:t xml:space="preserve">slots with downlink symbols </w:t>
            </w:r>
            <w:r w:rsidRPr="00450148">
              <w:rPr>
                <w:i/>
                <w:iCs/>
                <w:color w:val="000000" w:themeColor="text1"/>
                <w:lang w:eastAsia="ko-KR"/>
              </w:rPr>
              <w:t xml:space="preserve">within a 10 ms measurement interval, the averaging in the time domain can be calculated from </w:t>
            </w:r>
            <m:oMath>
              <m:r>
                <w:rPr>
                  <w:rFonts w:ascii="Cambria Math" w:hAnsi="Cambria Math"/>
                  <w:color w:val="000000" w:themeColor="text1"/>
                  <w:lang w:eastAsia="ko-KR"/>
                </w:rPr>
                <m:t xml:space="preserve"> </m:t>
              </m:r>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dl</m:t>
                  </m:r>
                </m:sub>
                <m:sup>
                  <m:r>
                    <w:rPr>
                      <w:rFonts w:ascii="Cambria Math" w:hAnsi="Cambria Math"/>
                      <w:color w:val="000000" w:themeColor="text1"/>
                      <w:lang w:eastAsia="ko-KR"/>
                    </w:rPr>
                    <m:t>TDD</m:t>
                  </m:r>
                </m:sup>
              </m:sSubSup>
            </m:oMath>
            <w:r w:rsidRPr="00450148">
              <w:rPr>
                <w:i/>
                <w:iCs/>
                <w:color w:val="000000" w:themeColor="text1"/>
              </w:rPr>
              <w:t xml:space="preserve"> slots </w:t>
            </w:r>
            <w:r w:rsidRPr="00450148">
              <w:rPr>
                <w:i/>
                <w:iCs/>
                <w:color w:val="000000" w:themeColor="text1"/>
                <w:lang w:eastAsia="ko-KR"/>
              </w:rPr>
              <w:t>of different 10 ms measurement intervals</w:t>
            </w:r>
            <w:r w:rsidRPr="00450148">
              <w:rPr>
                <w:i/>
                <w:iCs/>
                <w:color w:val="000000" w:themeColor="text1"/>
              </w:rPr>
              <w:t xml:space="preserve"> and should have a minimum of</w:t>
            </w:r>
            <w:r w:rsidRPr="00450148">
              <w:rPr>
                <w:i/>
                <w:iCs/>
                <w:color w:val="000000" w:themeColor="text1"/>
                <w:lang w:eastAsia="ko-KR"/>
              </w:rPr>
              <w:t xml:space="preserv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m:t>
                  </m:r>
                </m:sub>
              </m:sSub>
            </m:oMath>
            <w:r w:rsidRPr="00450148">
              <w:rPr>
                <w:rFonts w:eastAsia="Osaka"/>
                <w:i/>
                <w:iCs/>
                <w:color w:val="000000" w:themeColor="text1"/>
              </w:rPr>
              <w:t xml:space="preserve"> slots averaging length where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m:t>
                  </m:r>
                </m:sub>
              </m:sSub>
            </m:oMath>
            <w:r w:rsidRPr="00450148">
              <w:rPr>
                <w:rFonts w:eastAsia="Osaka"/>
                <w:i/>
                <w:iCs/>
                <w:color w:val="000000" w:themeColor="text1"/>
              </w:rPr>
              <w:t xml:space="preserve"> is the number of slots in a 10 ms measurement interval.</w:t>
            </w:r>
          </w:p>
          <w:p w14:paraId="24112C86" w14:textId="77777777" w:rsidR="004A5F79" w:rsidRPr="00450148" w:rsidRDefault="004A5F79" w:rsidP="004A5F79">
            <w:pPr>
              <w:pStyle w:val="B1"/>
              <w:rPr>
                <w:i/>
                <w:iCs/>
                <w:color w:val="000000" w:themeColor="text1"/>
              </w:rPr>
            </w:pPr>
            <w:r w:rsidRPr="00450148">
              <w:rPr>
                <w:i/>
                <w:iCs/>
                <w:color w:val="000000" w:themeColor="text1"/>
                <w:lang w:eastAsia="ko-KR"/>
              </w:rPr>
              <w:t>-</w:t>
            </w:r>
            <w:r w:rsidRPr="00450148">
              <w:rPr>
                <w:i/>
                <w:iCs/>
                <w:color w:val="000000" w:themeColor="text1"/>
                <w:lang w:eastAsia="ko-KR"/>
              </w:rPr>
              <w:tab/>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m:t>
                  </m:r>
                </m:sub>
              </m:sSub>
            </m:oMath>
            <w:r w:rsidRPr="00450148">
              <w:rPr>
                <w:i/>
                <w:iCs/>
                <w:color w:val="000000" w:themeColor="text1"/>
              </w:rPr>
              <w:t xml:space="preserve"> is </w:t>
            </w:r>
            <w:r w:rsidRPr="00450148">
              <w:rPr>
                <w:rFonts w:eastAsia="×–¾’©‘Ì"/>
                <w:i/>
                <w:iCs/>
                <w:color w:val="000000" w:themeColor="text1"/>
              </w:rPr>
              <w:t>derived by:</w:t>
            </w:r>
            <w:r w:rsidRPr="00450148">
              <w:rPr>
                <w:i/>
                <w:iCs/>
                <w:color w:val="000000" w:themeColor="text1"/>
              </w:rPr>
              <w:t xml:space="preserve"> Square the EVM results in each 10 ms measurement interval. Sum the squares, divide the sum by the number of EVM relevant locations, </w:t>
            </w:r>
            <w:proofErr w:type="gramStart"/>
            <w:r w:rsidRPr="00450148">
              <w:rPr>
                <w:i/>
                <w:iCs/>
                <w:color w:val="000000" w:themeColor="text1"/>
              </w:rPr>
              <w:t>square-root</w:t>
            </w:r>
            <w:proofErr w:type="gramEnd"/>
            <w:r w:rsidRPr="00450148">
              <w:rPr>
                <w:i/>
                <w:iCs/>
                <w:color w:val="000000" w:themeColor="text1"/>
              </w:rPr>
              <w:t xml:space="preserve"> the quotient (RMS).</w:t>
            </w:r>
          </w:p>
          <w:p w14:paraId="41E5D9CF" w14:textId="77777777" w:rsidR="004A5F79" w:rsidRPr="00450148" w:rsidRDefault="00174A48" w:rsidP="004A5F79">
            <w:pPr>
              <w:pStyle w:val="B1"/>
              <w:rPr>
                <w:i/>
                <w:iCs/>
                <w:color w:val="000000" w:themeColor="text1"/>
                <w:lang w:val="sv-FI"/>
              </w:rPr>
            </w:pPr>
            <m:oMathPara>
              <m:oMathParaPr>
                <m:jc m:val="left"/>
              </m:oMathParaPr>
              <m:oMath>
                <m:sSub>
                  <m:sSubPr>
                    <m:ctrlPr>
                      <w:rPr>
                        <w:rFonts w:ascii="Cambria Math" w:hAnsi="Cambria Math"/>
                        <w:i/>
                        <w:iCs/>
                        <w:color w:val="000000" w:themeColor="text1"/>
                      </w:rPr>
                    </m:ctrlPr>
                  </m:sSubPr>
                  <m:e>
                    <m:acc>
                      <m:accPr>
                        <m:chr m:val="̅"/>
                        <m:ctrlPr>
                          <w:rPr>
                            <w:rFonts w:ascii="Cambria Math" w:hAnsi="Cambria Math"/>
                            <w:i/>
                            <w:iCs/>
                            <w:color w:val="000000" w:themeColor="text1"/>
                          </w:rPr>
                        </m:ctrlPr>
                      </m:accPr>
                      <m:e>
                        <m:r>
                          <w:rPr>
                            <w:rFonts w:ascii="Cambria Math" w:hAnsi="Cambria Math"/>
                            <w:color w:val="000000" w:themeColor="text1"/>
                          </w:rPr>
                          <m:t>EVM</m:t>
                        </m:r>
                      </m:e>
                    </m:acc>
                  </m:e>
                  <m:sub>
                    <m:r>
                      <m:rPr>
                        <m:nor/>
                      </m:rPr>
                      <w:rPr>
                        <w:i/>
                        <w:iCs/>
                        <w:color w:val="000000" w:themeColor="text1"/>
                        <w:lang w:val="sv-FI"/>
                      </w:rPr>
                      <m:t>frame</m:t>
                    </m:r>
                  </m:sub>
                </m:sSub>
                <m:r>
                  <w:rPr>
                    <w:rFonts w:ascii="Cambria Math" w:hAnsi="Cambria Math"/>
                    <w:color w:val="000000" w:themeColor="text1"/>
                    <w:lang w:val="sv-FI"/>
                  </w:rPr>
                  <m:t>=</m:t>
                </m:r>
                <m:rad>
                  <m:radPr>
                    <m:degHide m:val="1"/>
                    <m:ctrlPr>
                      <w:rPr>
                        <w:rFonts w:ascii="Cambria Math" w:hAnsi="Cambria Math"/>
                        <w:i/>
                        <w:iCs/>
                        <w:color w:val="000000" w:themeColor="text1"/>
                      </w:rPr>
                    </m:ctrlPr>
                  </m:radPr>
                  <m:deg/>
                  <m:e>
                    <m:f>
                      <m:fPr>
                        <m:ctrlPr>
                          <w:rPr>
                            <w:rFonts w:ascii="Cambria Math" w:hAnsi="Cambria Math"/>
                            <w:i/>
                            <w:iCs/>
                            <w:color w:val="000000" w:themeColor="text1"/>
                          </w:rPr>
                        </m:ctrlPr>
                      </m:fPr>
                      <m:num>
                        <m:r>
                          <w:rPr>
                            <w:rFonts w:ascii="Cambria Math" w:hAnsi="Cambria Math"/>
                            <w:color w:val="000000" w:themeColor="text1"/>
                            <w:lang w:val="sv-FI"/>
                          </w:rPr>
                          <m:t>1</m:t>
                        </m:r>
                      </m:num>
                      <m:den>
                        <m:nary>
                          <m:naryPr>
                            <m:chr m:val="∑"/>
                            <m:limLoc m:val="undOvr"/>
                            <m:ctrlPr>
                              <w:rPr>
                                <w:rFonts w:ascii="Cambria Math" w:hAnsi="Cambria Math"/>
                                <w:i/>
                                <w:iCs/>
                                <w:color w:val="000000" w:themeColor="text1"/>
                              </w:rPr>
                            </m:ctrlPr>
                          </m:naryPr>
                          <m:sub>
                            <m:r>
                              <w:rPr>
                                <w:rFonts w:ascii="Cambria Math" w:hAnsi="Cambria Math"/>
                                <w:color w:val="000000" w:themeColor="text1"/>
                              </w:rPr>
                              <m:t>i</m:t>
                            </m:r>
                            <m:r>
                              <w:rPr>
                                <w:rFonts w:ascii="Cambria Math" w:hAnsi="Cambria Math"/>
                                <w:color w:val="000000" w:themeColor="text1"/>
                                <w:lang w:val="sv-FI"/>
                              </w:rPr>
                              <m:t>=1</m:t>
                            </m:r>
                          </m:sub>
                          <m:sup>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dl</m:t>
                                </m:r>
                              </m:sub>
                              <m:sup>
                                <m:r>
                                  <w:rPr>
                                    <w:rFonts w:ascii="Cambria Math" w:hAnsi="Cambria Math"/>
                                    <w:color w:val="000000" w:themeColor="text1"/>
                                  </w:rPr>
                                  <m:t>TDD</m:t>
                                </m:r>
                              </m:sup>
                            </m:sSubSup>
                          </m:sup>
                          <m:e>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e>
                        </m:nary>
                      </m:den>
                    </m:f>
                    <m:nary>
                      <m:naryPr>
                        <m:chr m:val="∑"/>
                        <m:limLoc m:val="undOvr"/>
                        <m:ctrlPr>
                          <w:rPr>
                            <w:rFonts w:ascii="Cambria Math" w:hAnsi="Cambria Math"/>
                            <w:i/>
                            <w:iCs/>
                            <w:color w:val="000000" w:themeColor="text1"/>
                          </w:rPr>
                        </m:ctrlPr>
                      </m:naryPr>
                      <m:sub>
                        <m:r>
                          <w:rPr>
                            <w:rFonts w:ascii="Cambria Math" w:hAnsi="Cambria Math"/>
                            <w:color w:val="000000" w:themeColor="text1"/>
                          </w:rPr>
                          <m:t>i</m:t>
                        </m:r>
                        <m:r>
                          <w:rPr>
                            <w:rFonts w:ascii="Cambria Math" w:hAnsi="Cambria Math"/>
                            <w:color w:val="000000" w:themeColor="text1"/>
                            <w:lang w:val="sv-FI"/>
                          </w:rPr>
                          <m:t>=1</m:t>
                        </m:r>
                      </m:sub>
                      <m:sup>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dl</m:t>
                            </m:r>
                          </m:sub>
                          <m:sup>
                            <m:r>
                              <w:rPr>
                                <w:rFonts w:ascii="Cambria Math" w:hAnsi="Cambria Math"/>
                                <w:color w:val="000000" w:themeColor="text1"/>
                              </w:rPr>
                              <m:t>TDD</m:t>
                            </m:r>
                          </m:sup>
                        </m:sSubSup>
                      </m:sup>
                      <m:e>
                        <m:nary>
                          <m:naryPr>
                            <m:chr m:val="∑"/>
                            <m:limLoc m:val="undOvr"/>
                            <m:ctrlPr>
                              <w:rPr>
                                <w:rFonts w:ascii="Cambria Math" w:hAnsi="Cambria Math"/>
                                <w:i/>
                                <w:iCs/>
                                <w:color w:val="000000" w:themeColor="text1"/>
                              </w:rPr>
                            </m:ctrlPr>
                          </m:naryPr>
                          <m:sub>
                            <m:r>
                              <w:rPr>
                                <w:rFonts w:ascii="Cambria Math" w:hAnsi="Cambria Math"/>
                                <w:color w:val="000000" w:themeColor="text1"/>
                              </w:rPr>
                              <m:t>j</m:t>
                            </m:r>
                            <m:r>
                              <w:rPr>
                                <w:rFonts w:ascii="Cambria Math" w:hAnsi="Cambria Math"/>
                                <w:color w:val="000000" w:themeColor="text1"/>
                                <w:lang w:val="sv-FI"/>
                              </w:rPr>
                              <m:t>=1</m:t>
                            </m:r>
                          </m:sub>
                          <m:sup>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sup>
                          <m:e>
                            <m:sSubSup>
                              <m:sSubSupPr>
                                <m:ctrlPr>
                                  <w:rPr>
                                    <w:rFonts w:ascii="Cambria Math" w:hAnsi="Cambria Math"/>
                                    <w:i/>
                                    <w:iCs/>
                                    <w:color w:val="000000" w:themeColor="text1"/>
                                  </w:rPr>
                                </m:ctrlPr>
                              </m:sSubSupPr>
                              <m:e>
                                <m:r>
                                  <w:rPr>
                                    <w:rFonts w:ascii="Cambria Math" w:hAnsi="Cambria Math"/>
                                    <w:color w:val="000000" w:themeColor="text1"/>
                                  </w:rPr>
                                  <m:t>EVM</m:t>
                                </m:r>
                              </m:e>
                              <m:sub>
                                <m:r>
                                  <w:rPr>
                                    <w:rFonts w:ascii="Cambria Math" w:hAnsi="Cambria Math"/>
                                    <w:color w:val="000000" w:themeColor="text1"/>
                                  </w:rPr>
                                  <m:t>i</m:t>
                                </m:r>
                                <m:r>
                                  <w:rPr>
                                    <w:rFonts w:ascii="Cambria Math" w:hAnsi="Cambria Math"/>
                                    <w:color w:val="000000" w:themeColor="text1"/>
                                    <w:lang w:val="sv-FI"/>
                                  </w:rPr>
                                  <m:t>,</m:t>
                                </m:r>
                                <m:r>
                                  <w:rPr>
                                    <w:rFonts w:ascii="Cambria Math" w:hAnsi="Cambria Math"/>
                                    <w:color w:val="000000" w:themeColor="text1"/>
                                  </w:rPr>
                                  <m:t>j</m:t>
                                </m:r>
                              </m:sub>
                              <m:sup>
                                <m:r>
                                  <w:rPr>
                                    <w:rFonts w:ascii="Cambria Math" w:hAnsi="Cambria Math"/>
                                    <w:color w:val="000000" w:themeColor="text1"/>
                                    <w:lang w:val="sv-FI"/>
                                  </w:rPr>
                                  <m:t>2</m:t>
                                </m:r>
                              </m:sup>
                            </m:sSubSup>
                          </m:e>
                        </m:nary>
                      </m:e>
                    </m:nary>
                  </m:e>
                </m:rad>
              </m:oMath>
            </m:oMathPara>
          </w:p>
          <w:p w14:paraId="29E1BED4" w14:textId="77777777" w:rsidR="004A5F79" w:rsidRPr="00450148" w:rsidRDefault="004A5F79" w:rsidP="004A5F79">
            <w:pPr>
              <w:pStyle w:val="B1"/>
              <w:rPr>
                <w:i/>
                <w:iCs/>
                <w:color w:val="000000" w:themeColor="text1"/>
                <w:lang w:eastAsia="ko-KR"/>
              </w:rPr>
            </w:pPr>
            <w:r w:rsidRPr="00450148">
              <w:rPr>
                <w:i/>
                <w:iCs/>
                <w:color w:val="000000" w:themeColor="text1"/>
                <w:lang w:eastAsia="ko-KR"/>
              </w:rPr>
              <w:t>-</w:t>
            </w:r>
            <w:r w:rsidRPr="00450148">
              <w:rPr>
                <w:i/>
                <w:iCs/>
                <w:color w:val="000000" w:themeColor="text1"/>
                <w:lang w:eastAsia="ko-KR"/>
              </w:rPr>
              <w:tab/>
              <w:t xml:space="preserve">Where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i</m:t>
                  </m:r>
                </m:sub>
              </m:sSub>
            </m:oMath>
            <w:r w:rsidRPr="00450148">
              <w:rPr>
                <w:i/>
                <w:iCs/>
                <w:color w:val="000000" w:themeColor="text1"/>
                <w:lang w:eastAsia="ko-KR"/>
              </w:rPr>
              <w:t xml:space="preserve"> is the number of resource blocks with the considered modulation scheme in slot i.</w:t>
            </w:r>
          </w:p>
          <w:p w14:paraId="5462A2AE" w14:textId="77777777" w:rsidR="004A5F79" w:rsidRPr="00450148" w:rsidRDefault="004A5F79" w:rsidP="004A5F79">
            <w:pPr>
              <w:pStyle w:val="B1"/>
              <w:rPr>
                <w:i/>
                <w:iCs/>
                <w:color w:val="000000" w:themeColor="text1"/>
              </w:rPr>
            </w:pPr>
            <w:r w:rsidRPr="00450148">
              <w:rPr>
                <w:i/>
                <w:iCs/>
                <w:color w:val="000000" w:themeColor="text1"/>
                <w:lang w:eastAsia="ko-KR"/>
              </w:rPr>
              <w:t>-</w:t>
            </w:r>
            <w:r w:rsidRPr="00450148">
              <w:rPr>
                <w:i/>
                <w:iCs/>
                <w:color w:val="000000" w:themeColor="text1"/>
                <w:lang w:eastAsia="ko-KR"/>
              </w:rPr>
              <w:tab/>
            </w:r>
            <w:r w:rsidRPr="00450148">
              <w:rPr>
                <w:i/>
                <w:iCs/>
                <w:color w:val="000000" w:themeColor="text1"/>
              </w:rPr>
              <w:t xml:space="preserve">The </w:t>
            </w:r>
            <m:oMath>
              <m:sSub>
                <m:sSubPr>
                  <m:ctrlPr>
                    <w:rPr>
                      <w:rFonts w:ascii="Cambria Math" w:eastAsia="×–¾’©‘Ì" w:hAnsi="Cambria Math"/>
                      <w:i/>
                      <w:iCs/>
                      <w:color w:val="000000" w:themeColor="text1"/>
                    </w:rPr>
                  </m:ctrlPr>
                </m:sSubPr>
                <m:e>
                  <m:r>
                    <w:rPr>
                      <w:rFonts w:ascii="Cambria Math" w:eastAsia="×–¾’©‘Ì" w:hAnsi="Cambria Math"/>
                      <w:color w:val="000000" w:themeColor="text1"/>
                    </w:rPr>
                    <m:t>EVM</m:t>
                  </m:r>
                </m:e>
                <m:sub>
                  <m:r>
                    <m:rPr>
                      <m:nor/>
                    </m:rPr>
                    <w:rPr>
                      <w:rFonts w:ascii="Cambria Math" w:eastAsia="×–¾’©‘Ì" w:hAnsi="Cambria Math"/>
                      <w:i/>
                      <w:iCs/>
                      <w:color w:val="000000" w:themeColor="text1"/>
                    </w:rPr>
                    <m:t>frame</m:t>
                  </m:r>
                </m:sub>
              </m:sSub>
            </m:oMath>
            <w:r w:rsidRPr="00450148">
              <w:rPr>
                <w:i/>
                <w:iCs/>
                <w:color w:val="000000" w:themeColor="text1"/>
              </w:rPr>
              <w:t xml:space="preserve"> is calculated, using the maximum of </w:t>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m:t>
                  </m:r>
                </m:sub>
              </m:sSub>
            </m:oMath>
            <w:r w:rsidRPr="00450148">
              <w:rPr>
                <w:i/>
                <w:iCs/>
                <w:color w:val="000000" w:themeColor="text1"/>
              </w:rPr>
              <w:t xml:space="preserve"> at the window W extremities. Thus </w:t>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frame,l</m:t>
                  </m:r>
                </m:sub>
              </m:sSub>
            </m:oMath>
            <w:r w:rsidRPr="00450148">
              <w:rPr>
                <w:i/>
                <w:iCs/>
                <w:color w:val="000000" w:themeColor="text1"/>
              </w:rPr>
              <w:t xml:space="preserve"> is calculated using </w:t>
            </w:r>
            <m:oMath>
              <m:acc>
                <m:accPr>
                  <m:chr m:val="̃"/>
                  <m:ctrlPr>
                    <w:rPr>
                      <w:rFonts w:ascii="Cambria Math" w:hAnsi="Cambria Math"/>
                      <w:i/>
                      <w:iCs/>
                      <w:color w:val="000000" w:themeColor="text1"/>
                    </w:rPr>
                  </m:ctrlPr>
                </m:accPr>
                <m:e>
                  <m:r>
                    <w:rPr>
                      <w:rFonts w:ascii="Cambria Math" w:hAnsi="Cambria Math"/>
                      <w:color w:val="000000" w:themeColor="text1"/>
                    </w:rPr>
                    <m:t>t</m:t>
                  </m:r>
                </m:e>
              </m:acc>
              <m:r>
                <w:rPr>
                  <w:rFonts w:ascii="Cambria Math" w:hAnsi="Cambria Math"/>
                  <w:color w:val="000000" w:themeColor="text1"/>
                </w:rPr>
                <m:t>=∆</m:t>
              </m:r>
              <m:sSub>
                <m:sSubPr>
                  <m:ctrlPr>
                    <w:rPr>
                      <w:rFonts w:ascii="Cambria Math" w:hAnsi="Cambria Math"/>
                      <w:i/>
                      <w:iCs/>
                      <w:color w:val="000000" w:themeColor="text1"/>
                    </w:rPr>
                  </m:ctrlPr>
                </m:sSubPr>
                <m:e>
                  <m:acc>
                    <m:accPr>
                      <m:chr m:val="̃"/>
                      <m:ctrlPr>
                        <w:rPr>
                          <w:rFonts w:ascii="Cambria Math" w:hAnsi="Cambria Math"/>
                          <w:i/>
                          <w:iCs/>
                          <w:color w:val="000000" w:themeColor="text1"/>
                        </w:rPr>
                      </m:ctrlPr>
                    </m:accPr>
                    <m:e>
                      <m:r>
                        <w:rPr>
                          <w:rFonts w:ascii="Cambria Math" w:hAnsi="Cambria Math"/>
                          <w:color w:val="000000" w:themeColor="text1"/>
                        </w:rPr>
                        <m:t>t</m:t>
                      </m:r>
                    </m:e>
                  </m:acc>
                </m:e>
                <m:sub>
                  <m:r>
                    <w:rPr>
                      <w:rFonts w:ascii="Cambria Math" w:hAnsi="Cambria Math"/>
                      <w:color w:val="000000" w:themeColor="text1"/>
                    </w:rPr>
                    <m:t>l</m:t>
                  </m:r>
                </m:sub>
              </m:sSub>
            </m:oMath>
            <w:r w:rsidRPr="00450148">
              <w:rPr>
                <w:i/>
                <w:iCs/>
                <w:color w:val="000000" w:themeColor="text1"/>
              </w:rPr>
              <w:t xml:space="preserve"> and </w:t>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frame,h</m:t>
                  </m:r>
                </m:sub>
              </m:sSub>
            </m:oMath>
            <w:r w:rsidRPr="00450148">
              <w:rPr>
                <w:rFonts w:eastAsia="×–¾’©‘Ì"/>
                <w:i/>
                <w:iCs/>
                <w:color w:val="000000" w:themeColor="text1"/>
              </w:rPr>
              <w:t xml:space="preserve"> i</w:t>
            </w:r>
            <w:r w:rsidRPr="00450148">
              <w:rPr>
                <w:i/>
                <w:iCs/>
                <w:color w:val="000000" w:themeColor="text1"/>
              </w:rPr>
              <w:t xml:space="preserve">s calculated using </w:t>
            </w:r>
            <m:oMath>
              <m:acc>
                <m:accPr>
                  <m:chr m:val="̃"/>
                  <m:ctrlPr>
                    <w:rPr>
                      <w:rFonts w:ascii="Cambria Math" w:hAnsi="Cambria Math"/>
                      <w:i/>
                      <w:iCs/>
                      <w:color w:val="000000" w:themeColor="text1"/>
                    </w:rPr>
                  </m:ctrlPr>
                </m:accPr>
                <m:e>
                  <m:r>
                    <w:rPr>
                      <w:rFonts w:ascii="Cambria Math" w:hAnsi="Cambria Math"/>
                      <w:color w:val="000000" w:themeColor="text1"/>
                    </w:rPr>
                    <m:t>t</m:t>
                  </m:r>
                </m:e>
              </m:acc>
              <m:r>
                <w:rPr>
                  <w:rFonts w:ascii="Cambria Math" w:hAnsi="Cambria Math"/>
                  <w:color w:val="000000" w:themeColor="text1"/>
                </w:rPr>
                <m:t>=∆</m:t>
              </m:r>
              <m:sSub>
                <m:sSubPr>
                  <m:ctrlPr>
                    <w:rPr>
                      <w:rFonts w:ascii="Cambria Math" w:hAnsi="Cambria Math"/>
                      <w:i/>
                      <w:iCs/>
                      <w:color w:val="000000" w:themeColor="text1"/>
                    </w:rPr>
                  </m:ctrlPr>
                </m:sSubPr>
                <m:e>
                  <m:acc>
                    <m:accPr>
                      <m:chr m:val="̃"/>
                      <m:ctrlPr>
                        <w:rPr>
                          <w:rFonts w:ascii="Cambria Math" w:hAnsi="Cambria Math"/>
                          <w:i/>
                          <w:iCs/>
                          <w:color w:val="000000" w:themeColor="text1"/>
                        </w:rPr>
                      </m:ctrlPr>
                    </m:accPr>
                    <m:e>
                      <m:r>
                        <w:rPr>
                          <w:rFonts w:ascii="Cambria Math" w:hAnsi="Cambria Math"/>
                          <w:color w:val="000000" w:themeColor="text1"/>
                        </w:rPr>
                        <m:t>t</m:t>
                      </m:r>
                    </m:e>
                  </m:acc>
                </m:e>
                <m:sub>
                  <m:r>
                    <w:rPr>
                      <w:rFonts w:ascii="Cambria Math" w:hAnsi="Cambria Math"/>
                      <w:color w:val="000000" w:themeColor="text1"/>
                    </w:rPr>
                    <m:t>h</m:t>
                  </m:r>
                </m:sub>
              </m:sSub>
            </m:oMath>
            <w:r w:rsidRPr="00450148">
              <w:rPr>
                <w:i/>
                <w:iCs/>
                <w:color w:val="000000" w:themeColor="text1"/>
              </w:rPr>
              <w:t xml:space="preserve"> (l and h, low and high; where low is the timing </w:t>
            </w:r>
            <m:oMath>
              <m:d>
                <m:dPr>
                  <m:ctrlPr>
                    <w:rPr>
                      <w:rFonts w:ascii="Cambria Math" w:hAnsi="Cambria Math"/>
                      <w:i/>
                      <w:iCs/>
                      <w:color w:val="000000" w:themeColor="text1"/>
                    </w:rPr>
                  </m:ctrlPr>
                </m:dPr>
                <m:e>
                  <m:r>
                    <w:rPr>
                      <w:rFonts w:ascii="Cambria Math" w:hAnsi="Cambria Math"/>
                      <w:color w:val="000000" w:themeColor="text1"/>
                    </w:rPr>
                    <m:t>∆c-W/2</m:t>
                  </m:r>
                </m:e>
              </m:d>
            </m:oMath>
            <w:r w:rsidRPr="00450148">
              <w:rPr>
                <w:i/>
                <w:iCs/>
                <w:noProof/>
                <w:color w:val="000000" w:themeColor="text1"/>
              </w:rPr>
              <w:t xml:space="preserve"> and and high is the timing </w:t>
            </w:r>
            <m:oMath>
              <m:d>
                <m:dPr>
                  <m:ctrlPr>
                    <w:rPr>
                      <w:rFonts w:ascii="Cambria Math" w:hAnsi="Cambria Math"/>
                      <w:i/>
                      <w:iCs/>
                      <w:color w:val="000000" w:themeColor="text1"/>
                    </w:rPr>
                  </m:ctrlPr>
                </m:dPr>
                <m:e>
                  <m:r>
                    <w:rPr>
                      <w:rFonts w:ascii="Cambria Math" w:hAnsi="Cambria Math"/>
                      <w:color w:val="000000" w:themeColor="text1"/>
                    </w:rPr>
                    <m:t>∆c+W/2</m:t>
                  </m:r>
                </m:e>
              </m:d>
            </m:oMath>
            <w:r w:rsidRPr="00450148">
              <w:rPr>
                <w:i/>
                <w:iCs/>
                <w:noProof/>
                <w:color w:val="000000" w:themeColor="text1"/>
              </w:rPr>
              <w:t>)</w:t>
            </w:r>
            <w:r w:rsidRPr="00450148">
              <w:rPr>
                <w:i/>
                <w:iCs/>
                <w:color w:val="000000" w:themeColor="text1"/>
              </w:rPr>
              <w:t>.</w:t>
            </w:r>
          </w:p>
          <w:p w14:paraId="6707DAFB" w14:textId="77777777" w:rsidR="004A5F79" w:rsidRPr="00450148" w:rsidRDefault="00174A48" w:rsidP="004A5F79">
            <w:pPr>
              <w:pStyle w:val="EQ"/>
              <w:jc w:val="center"/>
              <w:rPr>
                <w:i/>
                <w:iCs/>
                <w:color w:val="000000" w:themeColor="text1"/>
              </w:rPr>
            </w:pPr>
            <m:oMathPara>
              <m:oMath>
                <m:sSub>
                  <m:sSubPr>
                    <m:ctrlPr>
                      <w:rPr>
                        <w:rFonts w:ascii="Cambria Math" w:eastAsia="×–¾’©‘Ì" w:hAnsi="Cambria Math"/>
                        <w:i/>
                        <w:iCs/>
                        <w:color w:val="000000" w:themeColor="text1"/>
                      </w:rPr>
                    </m:ctrlPr>
                  </m:sSubPr>
                  <m:e>
                    <m:r>
                      <w:rPr>
                        <w:rFonts w:ascii="Cambria Math" w:eastAsia="×–¾’©‘Ì" w:hAnsi="Cambria Math"/>
                        <w:color w:val="000000" w:themeColor="text1"/>
                      </w:rPr>
                      <m:t>EVM</m:t>
                    </m:r>
                  </m:e>
                  <m:sub>
                    <m:r>
                      <m:rPr>
                        <m:nor/>
                      </m:rPr>
                      <w:rPr>
                        <w:rFonts w:ascii="Cambria Math" w:eastAsia="×–¾’©‘Ì" w:hAnsi="Cambria Math"/>
                        <w:i/>
                        <w:iCs/>
                        <w:color w:val="000000" w:themeColor="text1"/>
                      </w:rPr>
                      <m:t>frame</m:t>
                    </m:r>
                  </m:sub>
                </m:sSub>
                <m:r>
                  <w:rPr>
                    <w:rFonts w:ascii="Cambria Math" w:eastAsia="×–¾’©‘Ì" w:hAnsi="Cambria Math"/>
                    <w:color w:val="000000" w:themeColor="text1"/>
                  </w:rPr>
                  <m:t>=</m:t>
                </m:r>
                <m:func>
                  <m:funcPr>
                    <m:ctrlPr>
                      <w:rPr>
                        <w:rFonts w:ascii="Cambria Math" w:eastAsia="×–¾’©‘Ì" w:hAnsi="Cambria Math"/>
                        <w:i/>
                        <w:iCs/>
                        <w:color w:val="000000" w:themeColor="text1"/>
                      </w:rPr>
                    </m:ctrlPr>
                  </m:funcPr>
                  <m:fName>
                    <m:r>
                      <w:rPr>
                        <w:rFonts w:ascii="Cambria Math" w:eastAsia="×–¾’©‘Ì" w:hAnsi="Cambria Math"/>
                        <w:color w:val="000000" w:themeColor="text1"/>
                      </w:rPr>
                      <m:t>max</m:t>
                    </m:r>
                  </m:fName>
                  <m:e>
                    <m:d>
                      <m:dPr>
                        <m:ctrlPr>
                          <w:rPr>
                            <w:rFonts w:ascii="Cambria Math" w:eastAsia="×–¾’©‘Ì" w:hAnsi="Cambria Math"/>
                            <w:i/>
                            <w:iCs/>
                            <w:color w:val="000000" w:themeColor="text1"/>
                          </w:rPr>
                        </m:ctrlPr>
                      </m:dPr>
                      <m:e>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frame,l</m:t>
                            </m:r>
                          </m:sub>
                        </m:sSub>
                        <m:r>
                          <w:rPr>
                            <w:rFonts w:ascii="Cambria Math" w:eastAsia="×–¾’©‘Ì" w:hAnsi="Cambria Math"/>
                            <w:color w:val="000000" w:themeColor="text1"/>
                          </w:rPr>
                          <m:t>,</m:t>
                        </m:r>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frame,h</m:t>
                            </m:r>
                          </m:sub>
                        </m:sSub>
                      </m:e>
                    </m:d>
                  </m:e>
                </m:func>
              </m:oMath>
            </m:oMathPara>
          </w:p>
          <w:p w14:paraId="3368ACFF" w14:textId="77777777" w:rsidR="004A5F79" w:rsidRPr="00450148" w:rsidRDefault="004A5F79" w:rsidP="004A5F79">
            <w:pPr>
              <w:pStyle w:val="B1"/>
              <w:rPr>
                <w:i/>
                <w:iCs/>
                <w:color w:val="000000" w:themeColor="text1"/>
              </w:rPr>
            </w:pPr>
            <w:r w:rsidRPr="00450148">
              <w:rPr>
                <w:i/>
                <w:iCs/>
                <w:color w:val="000000" w:themeColor="text1"/>
                <w:lang w:eastAsia="ko-KR"/>
              </w:rPr>
              <w:t>-</w:t>
            </w:r>
            <w:r w:rsidRPr="00450148">
              <w:rPr>
                <w:i/>
                <w:iCs/>
                <w:color w:val="000000" w:themeColor="text1"/>
                <w:lang w:eastAsia="ko-KR"/>
              </w:rPr>
              <w:tab/>
            </w:r>
            <w:proofErr w:type="gramStart"/>
            <w:r w:rsidRPr="00450148">
              <w:rPr>
                <w:i/>
                <w:iCs/>
                <w:color w:val="000000" w:themeColor="text1"/>
              </w:rPr>
              <w:t>In order to</w:t>
            </w:r>
            <w:proofErr w:type="gramEnd"/>
            <w:r w:rsidRPr="00450148">
              <w:rPr>
                <w:i/>
                <w:iCs/>
                <w:color w:val="000000" w:themeColor="text1"/>
              </w:rPr>
              <w:t xml:space="preserve"> unite at least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m:t>
                  </m:r>
                </m:sub>
              </m:sSub>
            </m:oMath>
            <w:r w:rsidRPr="00450148">
              <w:rPr>
                <w:i/>
                <w:iCs/>
                <w:color w:val="000000" w:themeColor="text1"/>
                <w:lang w:eastAsia="ko-KR"/>
              </w:rPr>
              <w:t xml:space="preserve"> slots</w:t>
            </w:r>
            <w:r w:rsidRPr="00450148">
              <w:rPr>
                <w:i/>
                <w:iCs/>
                <w:color w:val="000000" w:themeColor="text1"/>
              </w:rPr>
              <w:t xml:space="preserve">, consider the minimum integer number of 10 ms measurement intervals, where </w:t>
            </w:r>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oMath>
            <w:r w:rsidRPr="00450148">
              <w:rPr>
                <w:i/>
                <w:iCs/>
                <w:color w:val="000000" w:themeColor="text1"/>
                <w:lang w:eastAsia="ko-KR"/>
              </w:rPr>
              <w:t xml:space="preserve"> is determined by</w:t>
            </w:r>
            <w:r w:rsidRPr="00450148">
              <w:rPr>
                <w:i/>
                <w:iCs/>
                <w:color w:val="000000" w:themeColor="text1"/>
              </w:rPr>
              <w:t>.</w:t>
            </w:r>
          </w:p>
          <w:p w14:paraId="51C175FF" w14:textId="77777777" w:rsidR="004A5F79" w:rsidRPr="00450148" w:rsidRDefault="00174A48" w:rsidP="004A5F79">
            <w:pPr>
              <w:pStyle w:val="EQ"/>
              <w:rPr>
                <w:rFonts w:eastAsia="×–¾’©‘Ì"/>
                <w:i/>
                <w:iCs/>
                <w:color w:val="000000" w:themeColor="text1"/>
              </w:rPr>
            </w:pPr>
            <m:oMathPara>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r>
                  <w:rPr>
                    <w:rFonts w:ascii="Cambria Math" w:hAnsi="Cambria Math"/>
                    <w:color w:val="000000" w:themeColor="text1"/>
                    <w:lang w:eastAsia="ko-KR"/>
                  </w:rPr>
                  <m:t>=</m:t>
                </m:r>
                <m:d>
                  <m:dPr>
                    <m:begChr m:val="⌈"/>
                    <m:endChr m:val="⌉"/>
                    <m:ctrlPr>
                      <w:rPr>
                        <w:rFonts w:ascii="Cambria Math" w:hAnsi="Cambria Math"/>
                        <w:i/>
                        <w:iCs/>
                        <w:color w:val="000000" w:themeColor="text1"/>
                        <w:lang w:eastAsia="ko-KR"/>
                      </w:rPr>
                    </m:ctrlPr>
                  </m:dPr>
                  <m:e>
                    <m:f>
                      <m:fPr>
                        <m:ctrlPr>
                          <w:rPr>
                            <w:rFonts w:ascii="Cambria Math" w:hAnsi="Cambria Math"/>
                            <w:i/>
                            <w:iCs/>
                            <w:color w:val="000000" w:themeColor="text1"/>
                            <w:lang w:eastAsia="ko-KR"/>
                          </w:rPr>
                        </m:ctrlPr>
                      </m:fPr>
                      <m:num>
                        <m:r>
                          <w:rPr>
                            <w:rFonts w:ascii="Cambria Math" w:hAnsi="Cambria Math"/>
                            <w:color w:val="000000" w:themeColor="text1"/>
                            <w:lang w:eastAsia="ko-KR"/>
                          </w:rPr>
                          <m:t>10</m:t>
                        </m:r>
                        <m:r>
                          <w:rPr>
                            <w:rFonts w:ascii="Cambria Math" w:eastAsia="×–¾’©‘Ì" w:hAnsi="Cambria Math"/>
                            <w:color w:val="000000" w:themeColor="text1"/>
                            <w:lang w:eastAsia="ko-KR"/>
                          </w:rPr>
                          <m:t>×</m:t>
                        </m:r>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slot</m:t>
                            </m:r>
                          </m:sub>
                        </m:sSub>
                      </m:num>
                      <m:den>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dl</m:t>
                            </m:r>
                          </m:sub>
                          <m:sup>
                            <m:r>
                              <w:rPr>
                                <w:rFonts w:ascii="Cambria Math" w:hAnsi="Cambria Math"/>
                                <w:color w:val="000000" w:themeColor="text1"/>
                                <w:lang w:eastAsia="ko-KR"/>
                              </w:rPr>
                              <m:t>TDD</m:t>
                            </m:r>
                          </m:sup>
                        </m:sSubSup>
                      </m:den>
                    </m:f>
                  </m:e>
                </m:d>
              </m:oMath>
            </m:oMathPara>
          </w:p>
          <w:p w14:paraId="05D89CCB" w14:textId="77777777" w:rsidR="004A5F79" w:rsidRPr="00450148" w:rsidRDefault="004A5F79" w:rsidP="004A5F79">
            <w:pPr>
              <w:pStyle w:val="B2"/>
              <w:rPr>
                <w:i/>
                <w:iCs/>
                <w:color w:val="000000" w:themeColor="text1"/>
                <w:lang w:eastAsia="ko-KR"/>
              </w:rPr>
            </w:pPr>
            <w:r w:rsidRPr="00450148">
              <w:rPr>
                <w:i/>
                <w:iCs/>
                <w:noProof/>
                <w:color w:val="000000" w:themeColor="text1"/>
                <w:lang w:eastAsia="ko-KR"/>
              </w:rPr>
              <w:lastRenderedPageBreak/>
              <w:t xml:space="preserve">and </w:t>
            </w:r>
            <m:oMath>
              <m:sSub>
                <m:sSubPr>
                  <m:ctrlPr>
                    <w:rPr>
                      <w:rFonts w:ascii="Cambria Math" w:hAnsi="Cambria Math"/>
                      <w:i/>
                      <w:iCs/>
                      <w:noProof/>
                      <w:color w:val="000000" w:themeColor="text1"/>
                      <w:lang w:eastAsia="ko-KR"/>
                    </w:rPr>
                  </m:ctrlPr>
                </m:sSubPr>
                <m:e>
                  <m:r>
                    <w:rPr>
                      <w:rFonts w:ascii="Cambria Math" w:hAnsi="Cambria Math"/>
                      <w:noProof/>
                      <w:color w:val="000000" w:themeColor="text1"/>
                      <w:lang w:eastAsia="ko-KR"/>
                    </w:rPr>
                    <m:t>N</m:t>
                  </m:r>
                </m:e>
                <m:sub>
                  <m:r>
                    <w:rPr>
                      <w:rFonts w:ascii="Cambria Math" w:hAnsi="Cambria Math"/>
                      <w:noProof/>
                      <w:color w:val="000000" w:themeColor="text1"/>
                      <w:lang w:eastAsia="ko-KR"/>
                    </w:rPr>
                    <m:t>slot</m:t>
                  </m:r>
                </m:sub>
              </m:sSub>
              <m:r>
                <w:rPr>
                  <w:rFonts w:ascii="Cambria Math" w:hAnsi="Cambria Math"/>
                  <w:noProof/>
                  <w:color w:val="000000" w:themeColor="text1"/>
                  <w:lang w:eastAsia="ko-KR"/>
                </w:rPr>
                <m:t>=1</m:t>
              </m:r>
            </m:oMath>
            <w:r w:rsidRPr="00450148">
              <w:rPr>
                <w:i/>
                <w:iCs/>
                <w:noProof/>
                <w:color w:val="000000" w:themeColor="text1"/>
                <w:lang w:eastAsia="ko-KR"/>
              </w:rPr>
              <w:t xml:space="preserve"> for 15 kHz SCS, </w:t>
            </w:r>
            <m:oMath>
              <m:sSub>
                <m:sSubPr>
                  <m:ctrlPr>
                    <w:rPr>
                      <w:rFonts w:ascii="Cambria Math" w:hAnsi="Cambria Math"/>
                      <w:i/>
                      <w:iCs/>
                      <w:noProof/>
                      <w:color w:val="000000" w:themeColor="text1"/>
                      <w:lang w:eastAsia="ko-KR"/>
                    </w:rPr>
                  </m:ctrlPr>
                </m:sSubPr>
                <m:e>
                  <m:r>
                    <w:rPr>
                      <w:rFonts w:ascii="Cambria Math" w:hAnsi="Cambria Math"/>
                      <w:noProof/>
                      <w:color w:val="000000" w:themeColor="text1"/>
                      <w:lang w:eastAsia="ko-KR"/>
                    </w:rPr>
                    <m:t>N</m:t>
                  </m:r>
                </m:e>
                <m:sub>
                  <m:r>
                    <w:rPr>
                      <w:rFonts w:ascii="Cambria Math" w:hAnsi="Cambria Math"/>
                      <w:noProof/>
                      <w:color w:val="000000" w:themeColor="text1"/>
                      <w:lang w:eastAsia="ko-KR"/>
                    </w:rPr>
                    <m:t>slot</m:t>
                  </m:r>
                </m:sub>
              </m:sSub>
              <m:r>
                <w:rPr>
                  <w:rFonts w:ascii="Cambria Math" w:hAnsi="Cambria Math"/>
                  <w:noProof/>
                  <w:color w:val="000000" w:themeColor="text1"/>
                  <w:lang w:eastAsia="ko-KR"/>
                </w:rPr>
                <m:t>=2</m:t>
              </m:r>
            </m:oMath>
            <w:r w:rsidRPr="00450148">
              <w:rPr>
                <w:i/>
                <w:iCs/>
                <w:noProof/>
                <w:color w:val="000000" w:themeColor="text1"/>
                <w:lang w:eastAsia="ko-KR"/>
              </w:rPr>
              <w:t xml:space="preserve"> for 30 kHz SCS and </w:t>
            </w:r>
            <m:oMath>
              <m:sSub>
                <m:sSubPr>
                  <m:ctrlPr>
                    <w:rPr>
                      <w:rFonts w:ascii="Cambria Math" w:hAnsi="Cambria Math"/>
                      <w:i/>
                      <w:iCs/>
                      <w:noProof/>
                      <w:color w:val="000000" w:themeColor="text1"/>
                      <w:lang w:eastAsia="ko-KR"/>
                    </w:rPr>
                  </m:ctrlPr>
                </m:sSubPr>
                <m:e>
                  <m:r>
                    <w:rPr>
                      <w:rFonts w:ascii="Cambria Math" w:hAnsi="Cambria Math"/>
                      <w:noProof/>
                      <w:color w:val="000000" w:themeColor="text1"/>
                      <w:lang w:eastAsia="ko-KR"/>
                    </w:rPr>
                    <m:t>N</m:t>
                  </m:r>
                </m:e>
                <m:sub>
                  <m:r>
                    <w:rPr>
                      <w:rFonts w:ascii="Cambria Math" w:hAnsi="Cambria Math"/>
                      <w:noProof/>
                      <w:color w:val="000000" w:themeColor="text1"/>
                      <w:lang w:eastAsia="ko-KR"/>
                    </w:rPr>
                    <m:t>slot</m:t>
                  </m:r>
                </m:sub>
              </m:sSub>
              <m:r>
                <w:rPr>
                  <w:rFonts w:ascii="Cambria Math" w:hAnsi="Cambria Math"/>
                  <w:noProof/>
                  <w:color w:val="000000" w:themeColor="text1"/>
                  <w:lang w:eastAsia="ko-KR"/>
                </w:rPr>
                <m:t>=4</m:t>
              </m:r>
            </m:oMath>
            <w:r w:rsidRPr="00450148">
              <w:rPr>
                <w:i/>
                <w:iCs/>
                <w:noProof/>
                <w:color w:val="000000" w:themeColor="text1"/>
                <w:lang w:eastAsia="ko-KR"/>
              </w:rPr>
              <w:t xml:space="preserve"> for 60 kHz SCS normal CP.</w:t>
            </w:r>
          </w:p>
          <w:p w14:paraId="6203D376" w14:textId="77777777" w:rsidR="004A5F79" w:rsidRPr="00450148" w:rsidRDefault="004A5F79" w:rsidP="004A5F79">
            <w:pPr>
              <w:pStyle w:val="B1"/>
              <w:rPr>
                <w:i/>
                <w:iCs/>
                <w:color w:val="000000" w:themeColor="text1"/>
              </w:rPr>
            </w:pPr>
            <w:r w:rsidRPr="00450148">
              <w:rPr>
                <w:i/>
                <w:iCs/>
                <w:color w:val="000000" w:themeColor="text1"/>
                <w:lang w:eastAsia="ko-KR"/>
              </w:rPr>
              <w:t>-</w:t>
            </w:r>
            <w:r w:rsidRPr="00450148">
              <w:rPr>
                <w:i/>
                <w:iCs/>
                <w:color w:val="000000" w:themeColor="text1"/>
                <w:lang w:eastAsia="ko-KR"/>
              </w:rPr>
              <w:tab/>
            </w:r>
            <w:r w:rsidRPr="00450148">
              <w:rPr>
                <w:i/>
                <w:iCs/>
                <w:color w:val="000000" w:themeColor="text1"/>
              </w:rPr>
              <w:t>Unite by RMS.</w:t>
            </w:r>
          </w:p>
          <w:p w14:paraId="7F8DEF2D" w14:textId="60EDB1D2" w:rsidR="004A5F79" w:rsidRPr="004A5F79" w:rsidRDefault="00174A48" w:rsidP="004A5F79">
            <w:pPr>
              <w:pStyle w:val="EQ"/>
              <w:rPr>
                <w:i/>
                <w:iCs/>
                <w:color w:val="000000" w:themeColor="text1"/>
              </w:rPr>
            </w:pPr>
            <m:oMathPara>
              <m:oMath>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r>
                  <w:rPr>
                    <w:rFonts w:ascii="Cambria Math" w:eastAsia="×–¾’©‘Ì" w:hAnsi="Cambria Math"/>
                    <w:color w:val="000000" w:themeColor="text1"/>
                  </w:rPr>
                  <m:t>=</m:t>
                </m:r>
                <m:rad>
                  <m:radPr>
                    <m:degHide m:val="1"/>
                    <m:ctrlPr>
                      <w:rPr>
                        <w:rFonts w:ascii="Cambria Math" w:hAnsi="Cambria Math"/>
                        <w:i/>
                        <w:iCs/>
                        <w:color w:val="000000" w:themeColor="text1"/>
                        <w:lang w:eastAsia="ko-KR"/>
                      </w:rPr>
                    </m:ctrlPr>
                  </m:radPr>
                  <m:deg/>
                  <m:e>
                    <m:f>
                      <m:fPr>
                        <m:ctrlPr>
                          <w:rPr>
                            <w:rFonts w:ascii="Cambria Math" w:hAnsi="Cambria Math"/>
                            <w:i/>
                            <w:iCs/>
                            <w:color w:val="000000" w:themeColor="text1"/>
                            <w:lang w:eastAsia="ko-KR"/>
                          </w:rPr>
                        </m:ctrlPr>
                      </m:fPr>
                      <m:num>
                        <m:r>
                          <w:rPr>
                            <w:rFonts w:ascii="Cambria Math" w:hAnsi="Cambria Math"/>
                            <w:color w:val="000000" w:themeColor="text1"/>
                            <w:lang w:eastAsia="ko-KR"/>
                          </w:rPr>
                          <m:t>1</m:t>
                        </m:r>
                      </m:num>
                      <m:den>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den>
                    </m:f>
                    <m:nary>
                      <m:naryPr>
                        <m:chr m:val="∑"/>
                        <m:limLoc m:val="undOvr"/>
                        <m:ctrlPr>
                          <w:rPr>
                            <w:rFonts w:ascii="Cambria Math" w:hAnsi="Cambria Math"/>
                            <w:i/>
                            <w:iCs/>
                            <w:color w:val="000000" w:themeColor="text1"/>
                            <w:lang w:eastAsia="ko-KR"/>
                          </w:rPr>
                        </m:ctrlPr>
                      </m:naryPr>
                      <m:sub>
                        <m:r>
                          <w:rPr>
                            <w:rFonts w:ascii="Cambria Math" w:hAnsi="Cambria Math"/>
                            <w:color w:val="000000" w:themeColor="text1"/>
                            <w:lang w:eastAsia="ko-KR"/>
                          </w:rPr>
                          <m:t>k=1</m:t>
                        </m:r>
                      </m:sub>
                      <m:sup>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sup>
                      <m:e>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EVM</m:t>
                            </m:r>
                          </m:e>
                          <m:sub>
                            <m:r>
                              <w:rPr>
                                <w:rFonts w:ascii="Cambria Math" w:hAnsi="Cambria Math"/>
                                <w:color w:val="000000" w:themeColor="text1"/>
                                <w:lang w:eastAsia="ko-KR"/>
                              </w:rPr>
                              <m:t>frame,k</m:t>
                            </m:r>
                          </m:sub>
                          <m:sup>
                            <m:r>
                              <w:rPr>
                                <w:rFonts w:ascii="Cambria Math" w:hAnsi="Cambria Math"/>
                                <w:color w:val="000000" w:themeColor="text1"/>
                                <w:lang w:eastAsia="ko-KR"/>
                              </w:rPr>
                              <m:t>2</m:t>
                            </m:r>
                          </m:sup>
                        </m:sSubSup>
                      </m:e>
                    </m:nary>
                  </m:e>
                </m:rad>
              </m:oMath>
            </m:oMathPara>
          </w:p>
        </w:tc>
      </w:tr>
    </w:tbl>
    <w:p w14:paraId="162AF6D6" w14:textId="77777777" w:rsidR="004A5F79" w:rsidRDefault="004A5F79" w:rsidP="00780BBC">
      <w:pPr>
        <w:jc w:val="both"/>
        <w:rPr>
          <w:color w:val="000000" w:themeColor="text1"/>
          <w:lang w:eastAsia="zh-CN"/>
        </w:rPr>
      </w:pPr>
    </w:p>
    <w:p w14:paraId="7C14E5A3" w14:textId="40AF49F3" w:rsidR="00780BBC" w:rsidRDefault="004A5F79" w:rsidP="00780BBC">
      <w:pPr>
        <w:jc w:val="both"/>
        <w:rPr>
          <w:color w:val="000000" w:themeColor="text1"/>
          <w:lang w:eastAsia="zh-CN"/>
        </w:rPr>
      </w:pPr>
      <w:r>
        <w:rPr>
          <w:color w:val="000000" w:themeColor="text1"/>
          <w:lang w:eastAsia="zh-CN"/>
        </w:rPr>
        <w:t xml:space="preserve">Observed from the above process, it is apparent that the averaging is carried out over the allocated downlink PRBs (full allocation). As a result, for SBFD-capable gNB, the PRBs belonging to the UL subband should not be considered </w:t>
      </w:r>
      <w:r w:rsidR="0075682C">
        <w:rPr>
          <w:color w:val="000000" w:themeColor="text1"/>
          <w:lang w:eastAsia="zh-CN"/>
        </w:rPr>
        <w:t xml:space="preserve">when we are evaluating the average for th EVM of the DL subband for any given SBFD configuration. </w:t>
      </w:r>
      <w:proofErr w:type="gramStart"/>
      <w:r w:rsidR="0075682C">
        <w:rPr>
          <w:color w:val="000000" w:themeColor="text1"/>
          <w:lang w:eastAsia="zh-CN"/>
        </w:rPr>
        <w:t>This by definition, results</w:t>
      </w:r>
      <w:proofErr w:type="gramEnd"/>
      <w:r w:rsidR="0075682C">
        <w:rPr>
          <w:color w:val="000000" w:themeColor="text1"/>
          <w:lang w:eastAsia="zh-CN"/>
        </w:rPr>
        <w:t xml:space="preserve"> in difference procedure for EVM calculation for SBFD slot and non-SBFD slot, thus we prefer to agree with the WF captired in [2]. </w:t>
      </w:r>
      <w:r w:rsidR="00780BBC" w:rsidRPr="00450148">
        <w:rPr>
          <w:color w:val="000000" w:themeColor="text1"/>
          <w:lang w:eastAsia="zh-CN"/>
        </w:rPr>
        <w:t>Considering the averaged EVM for SBFD slots may be different from the averaged EVM for non-SBFD slots, in our opinion, they should be measured separately.</w:t>
      </w:r>
    </w:p>
    <w:p w14:paraId="428AE717" w14:textId="7B004528" w:rsidR="0075682C" w:rsidRPr="0075682C" w:rsidRDefault="0075682C" w:rsidP="0075682C">
      <w:pPr>
        <w:rPr>
          <w:rFonts w:eastAsiaTheme="minorEastAsia"/>
          <w:b/>
          <w:bCs/>
          <w:lang w:eastAsia="zh-CN"/>
        </w:rPr>
      </w:pPr>
      <w:r w:rsidRPr="0075682C">
        <w:rPr>
          <w:b/>
          <w:bCs/>
          <w:color w:val="000000" w:themeColor="text1"/>
          <w:u w:val="single"/>
        </w:rPr>
        <w:t>Proposal 3</w:t>
      </w:r>
      <w:r w:rsidRPr="0075682C">
        <w:rPr>
          <w:b/>
          <w:bCs/>
          <w:color w:val="000000" w:themeColor="text1"/>
        </w:rPr>
        <w:t>: Averaged EVMs for SBFD slots and non-SBFD slots shall be measured separately.</w:t>
      </w:r>
    </w:p>
    <w:p w14:paraId="4199C0EC" w14:textId="10E280E6" w:rsidR="0075682C" w:rsidRPr="0075682C" w:rsidRDefault="0075682C" w:rsidP="0075682C">
      <w:pPr>
        <w:jc w:val="both"/>
        <w:rPr>
          <w:b/>
          <w:bCs/>
          <w:color w:val="000000" w:themeColor="text1"/>
          <w:lang w:eastAsia="zh-CN"/>
        </w:rPr>
      </w:pPr>
      <w:r w:rsidRPr="0075682C">
        <w:rPr>
          <w:b/>
          <w:bCs/>
          <w:color w:val="000000" w:themeColor="text1"/>
          <w:u w:val="single"/>
        </w:rPr>
        <w:t>Proposal 4</w:t>
      </w:r>
      <w:r w:rsidRPr="0075682C">
        <w:rPr>
          <w:b/>
          <w:bCs/>
          <w:color w:val="000000" w:themeColor="text1"/>
        </w:rPr>
        <w:t>: Averaged EVM for SBFD slots shall be calculated only based on the data samples where DLs are allocated within the SBFD slots. The data samples where ULs are allocated within the SBFD slots shall be removed from the calculation of averaged EVM.</w:t>
      </w:r>
    </w:p>
    <w:p w14:paraId="46DCD988" w14:textId="77777777" w:rsidR="00A37CEF" w:rsidRDefault="00A37CEF" w:rsidP="002A0877">
      <w:pPr>
        <w:pStyle w:val="Heading1"/>
        <w:jc w:val="both"/>
      </w:pPr>
      <w:r>
        <w:t>Conclusion</w:t>
      </w:r>
    </w:p>
    <w:p w14:paraId="21920010" w14:textId="2669ACB9" w:rsidR="00A37CEF" w:rsidRDefault="00A37CEF" w:rsidP="002A0877">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 xml:space="preserve">ed our views on </w:t>
      </w:r>
      <w:r w:rsidR="00CE7110">
        <w:t xml:space="preserve">BS RF requirements for SBFD </w:t>
      </w:r>
      <w:r w:rsidRPr="00A562B7">
        <w:t>with</w:t>
      </w:r>
      <w:r>
        <w:t xml:space="preserve"> the </w:t>
      </w:r>
      <w:r w:rsidRPr="00A562B7">
        <w:t>following</w:t>
      </w:r>
      <w:r>
        <w:t xml:space="preserve"> observations and </w:t>
      </w:r>
      <w:r w:rsidRPr="00A562B7">
        <w:t>proposals:</w:t>
      </w:r>
    </w:p>
    <w:p w14:paraId="0363DE63" w14:textId="09EF63D6" w:rsidR="0075682C" w:rsidRPr="0075682C" w:rsidRDefault="0075682C" w:rsidP="0075682C">
      <w:pPr>
        <w:jc w:val="both"/>
        <w:rPr>
          <w:b/>
          <w:bCs/>
          <w:lang w:val="en-GB"/>
        </w:rPr>
      </w:pPr>
      <w:r w:rsidRPr="00A12CCE">
        <w:rPr>
          <w:b/>
          <w:bCs/>
          <w:u w:val="single"/>
          <w:lang w:val="en-GB"/>
        </w:rPr>
        <w:t>Observation 1</w:t>
      </w:r>
      <w:r w:rsidRPr="00A12CCE">
        <w:rPr>
          <w:b/>
          <w:bCs/>
          <w:lang w:val="en-GB"/>
        </w:rPr>
        <w:t xml:space="preserve">: Adopting legacy gNB ACLR requirement for the SBFD-capable gNB is sufficient to ensure feasible coexistence with adjacent channel deployed legacy TDD systems. </w:t>
      </w:r>
    </w:p>
    <w:p w14:paraId="3C351866" w14:textId="46B935E5" w:rsidR="0075682C" w:rsidRPr="0075682C" w:rsidRDefault="0075682C" w:rsidP="0075682C">
      <w:pPr>
        <w:jc w:val="both"/>
        <w:rPr>
          <w:b/>
          <w:bCs/>
          <w:lang w:val="en-GB"/>
        </w:rPr>
      </w:pPr>
      <w:r w:rsidRPr="00A12CCE">
        <w:rPr>
          <w:b/>
          <w:bCs/>
          <w:u w:val="single"/>
          <w:lang w:val="en-GB"/>
        </w:rPr>
        <w:t xml:space="preserve">Observation </w:t>
      </w:r>
      <w:r>
        <w:rPr>
          <w:b/>
          <w:bCs/>
          <w:u w:val="single"/>
          <w:lang w:val="en-GB"/>
        </w:rPr>
        <w:t>2</w:t>
      </w:r>
      <w:r w:rsidRPr="00A12CCE">
        <w:rPr>
          <w:b/>
          <w:bCs/>
          <w:lang w:val="en-GB"/>
        </w:rPr>
        <w:t xml:space="preserve">: </w:t>
      </w:r>
      <w:r>
        <w:rPr>
          <w:b/>
          <w:bCs/>
          <w:lang w:val="en-GB"/>
        </w:rPr>
        <w:t xml:space="preserve">When coexisting with SBFD-capable gNB, legacy ACLR requirement might not be sufficient to ensure feasible coexistence. Additionally, RAN4 has only considered ACIR enhancement as a possible solution during the SI phase. </w:t>
      </w:r>
    </w:p>
    <w:p w14:paraId="0BEE5BED" w14:textId="07A0BB10" w:rsidR="0075682C" w:rsidRPr="0075682C" w:rsidRDefault="0075682C" w:rsidP="0075682C">
      <w:pPr>
        <w:jc w:val="both"/>
        <w:rPr>
          <w:rFonts w:eastAsiaTheme="minorEastAsia"/>
          <w:b/>
          <w:bCs/>
          <w:lang w:eastAsia="zh-CN"/>
        </w:rPr>
      </w:pPr>
      <w:r w:rsidRPr="00666011">
        <w:rPr>
          <w:rFonts w:eastAsiaTheme="minorEastAsia"/>
          <w:b/>
          <w:bCs/>
          <w:u w:val="single"/>
          <w:lang w:eastAsia="zh-CN"/>
        </w:rPr>
        <w:t>Proposal 1</w:t>
      </w:r>
      <w:r w:rsidRPr="00666011">
        <w:rPr>
          <w:rFonts w:eastAsiaTheme="minorEastAsia"/>
          <w:b/>
          <w:bCs/>
          <w:lang w:eastAsia="zh-CN"/>
        </w:rPr>
        <w:t xml:space="preserve">: RAN4 to consider additional ACLR requirement </w:t>
      </w:r>
      <w:r>
        <w:rPr>
          <w:rFonts w:eastAsiaTheme="minorEastAsia"/>
          <w:b/>
          <w:bCs/>
          <w:lang w:eastAsia="zh-CN"/>
        </w:rPr>
        <w:t xml:space="preserve">assuming 1 dB desensitization </w:t>
      </w:r>
      <w:r w:rsidRPr="00666011">
        <w:rPr>
          <w:rFonts w:eastAsiaTheme="minorEastAsia"/>
          <w:b/>
          <w:bCs/>
          <w:lang w:eastAsia="zh-CN"/>
        </w:rPr>
        <w:t xml:space="preserve">to ensure feasible coexistence with SBFD-capable gNB. As a starting point, urban macro deployments should be considered as that represent the challenging scenario. </w:t>
      </w:r>
    </w:p>
    <w:p w14:paraId="1FACDCA8" w14:textId="3C75BD5D" w:rsidR="0075682C" w:rsidRPr="0075682C" w:rsidRDefault="0075682C" w:rsidP="0075682C">
      <w:pPr>
        <w:jc w:val="both"/>
        <w:rPr>
          <w:b/>
          <w:bCs/>
          <w:lang w:eastAsia="zh-CN"/>
        </w:rPr>
      </w:pPr>
      <w:r w:rsidRPr="00237667">
        <w:rPr>
          <w:rFonts w:eastAsiaTheme="minorEastAsia"/>
          <w:b/>
          <w:bCs/>
          <w:u w:val="single"/>
          <w:lang w:eastAsia="zh-CN"/>
        </w:rPr>
        <w:t>Proposal 2</w:t>
      </w:r>
      <w:r w:rsidRPr="00237667">
        <w:rPr>
          <w:rFonts w:eastAsiaTheme="minorEastAsia"/>
          <w:b/>
          <w:bCs/>
          <w:lang w:eastAsia="zh-CN"/>
        </w:rPr>
        <w:t xml:space="preserve">: Regarding CL for inter-gNB CLI, RAN4 to adopt typical CL values based on typical SBFD-capable gNB implementation. </w:t>
      </w:r>
    </w:p>
    <w:p w14:paraId="742A78F0" w14:textId="37610295" w:rsidR="0075682C" w:rsidRPr="0075682C" w:rsidRDefault="0075682C" w:rsidP="0075682C">
      <w:pPr>
        <w:rPr>
          <w:rFonts w:eastAsiaTheme="minorEastAsia"/>
          <w:b/>
          <w:bCs/>
          <w:lang w:eastAsia="zh-CN"/>
        </w:rPr>
      </w:pPr>
      <w:r w:rsidRPr="0075682C">
        <w:rPr>
          <w:b/>
          <w:bCs/>
          <w:color w:val="000000" w:themeColor="text1"/>
          <w:u w:val="single"/>
        </w:rPr>
        <w:t>Proposal 3</w:t>
      </w:r>
      <w:r w:rsidRPr="0075682C">
        <w:rPr>
          <w:b/>
          <w:bCs/>
          <w:color w:val="000000" w:themeColor="text1"/>
        </w:rPr>
        <w:t>: Averaged EVMs for SBFD slots and non-SBFD slots shall be measured separately.</w:t>
      </w:r>
    </w:p>
    <w:p w14:paraId="1C6E7877" w14:textId="77777777" w:rsidR="0075682C" w:rsidRPr="0075682C" w:rsidRDefault="0075682C" w:rsidP="0075682C">
      <w:pPr>
        <w:jc w:val="both"/>
        <w:rPr>
          <w:b/>
          <w:bCs/>
          <w:color w:val="000000" w:themeColor="text1"/>
          <w:lang w:eastAsia="zh-CN"/>
        </w:rPr>
      </w:pPr>
      <w:r w:rsidRPr="0075682C">
        <w:rPr>
          <w:b/>
          <w:bCs/>
          <w:color w:val="000000" w:themeColor="text1"/>
          <w:u w:val="single"/>
        </w:rPr>
        <w:t>Proposal 4</w:t>
      </w:r>
      <w:r w:rsidRPr="0075682C">
        <w:rPr>
          <w:b/>
          <w:bCs/>
          <w:color w:val="000000" w:themeColor="text1"/>
        </w:rPr>
        <w:t>: Averaged EVM for SBFD slots shall be calculated only based on the data samples where DLs are allocated within the SBFD slots. The data samples where ULs are allocated within the SBFD slots shall be removed from the calculation of averaged EVM.</w:t>
      </w:r>
    </w:p>
    <w:p w14:paraId="2B7C1C2C" w14:textId="77777777" w:rsidR="00A37CEF" w:rsidRPr="00D54742" w:rsidRDefault="00A37CEF" w:rsidP="002A0877">
      <w:pPr>
        <w:pStyle w:val="Heading1"/>
        <w:jc w:val="both"/>
      </w:pPr>
      <w:r>
        <w:t>References</w:t>
      </w:r>
    </w:p>
    <w:p w14:paraId="20F7CEBE" w14:textId="77777777" w:rsidR="001737E0" w:rsidRDefault="001737E0" w:rsidP="001737E0">
      <w:pPr>
        <w:pStyle w:val="References"/>
        <w:numPr>
          <w:ilvl w:val="0"/>
          <w:numId w:val="2"/>
        </w:numPr>
        <w:autoSpaceDE/>
        <w:autoSpaceDN/>
        <w:snapToGrid/>
        <w:spacing w:after="80" w:line="256" w:lineRule="auto"/>
        <w:rPr>
          <w:szCs w:val="20"/>
          <w:lang w:val="en-GB"/>
        </w:rPr>
      </w:pPr>
      <w:bookmarkStart w:id="4" w:name="_Ref47616084"/>
      <w:bookmarkStart w:id="5" w:name="_Ref32439522"/>
      <w:r w:rsidRPr="00753211">
        <w:rPr>
          <w:szCs w:val="20"/>
          <w:lang w:val="en-GB"/>
        </w:rPr>
        <w:t>RP-240789</w:t>
      </w:r>
      <w:r w:rsidRPr="005C32DA">
        <w:rPr>
          <w:szCs w:val="20"/>
          <w:lang w:val="en-GB"/>
        </w:rPr>
        <w:t xml:space="preserve"> </w:t>
      </w:r>
      <w:r w:rsidRPr="00785E35">
        <w:rPr>
          <w:szCs w:val="20"/>
          <w:lang w:val="en-GB"/>
        </w:rPr>
        <w:t>“</w:t>
      </w:r>
      <w:r>
        <w:rPr>
          <w:szCs w:val="20"/>
          <w:lang w:val="en-GB"/>
        </w:rPr>
        <w:t>Revised</w:t>
      </w:r>
      <w:r w:rsidRPr="005945B3">
        <w:rPr>
          <w:szCs w:val="20"/>
          <w:lang w:val="en-GB"/>
        </w:rPr>
        <w:t xml:space="preserve"> WID: Evolution of NR duplex operation: Sub-band full duplex (SBFD)</w:t>
      </w:r>
      <w:r w:rsidRPr="00785E35">
        <w:rPr>
          <w:szCs w:val="20"/>
          <w:lang w:val="en-GB"/>
        </w:rPr>
        <w:t xml:space="preserve">”, </w:t>
      </w:r>
      <w:r>
        <w:rPr>
          <w:szCs w:val="20"/>
          <w:lang w:val="en-GB"/>
        </w:rPr>
        <w:t>Huawei, HiSilicon</w:t>
      </w:r>
      <w:r w:rsidRPr="00785E35">
        <w:rPr>
          <w:szCs w:val="20"/>
          <w:lang w:val="en-GB"/>
        </w:rPr>
        <w:t xml:space="preserve">, </w:t>
      </w:r>
      <w:r w:rsidRPr="003E1C6B">
        <w:rPr>
          <w:szCs w:val="20"/>
          <w:lang w:val="en-GB"/>
        </w:rPr>
        <w:t>3GPP TSG RAN#</w:t>
      </w:r>
      <w:r>
        <w:rPr>
          <w:szCs w:val="20"/>
          <w:lang w:val="en-GB"/>
        </w:rPr>
        <w:t>103</w:t>
      </w:r>
      <w:r w:rsidRPr="00785E35">
        <w:rPr>
          <w:szCs w:val="20"/>
          <w:lang w:val="en-GB"/>
        </w:rPr>
        <w:t>.</w:t>
      </w:r>
      <w:bookmarkEnd w:id="4"/>
    </w:p>
    <w:p w14:paraId="5DC3233E" w14:textId="6AA8080C" w:rsidR="001737E0" w:rsidRDefault="006D63F7" w:rsidP="001737E0">
      <w:pPr>
        <w:pStyle w:val="References"/>
        <w:numPr>
          <w:ilvl w:val="0"/>
          <w:numId w:val="2"/>
        </w:numPr>
        <w:autoSpaceDE/>
        <w:autoSpaceDN/>
        <w:snapToGrid/>
        <w:spacing w:after="80" w:line="256" w:lineRule="auto"/>
        <w:rPr>
          <w:szCs w:val="20"/>
          <w:lang w:val="en-GB"/>
        </w:rPr>
      </w:pPr>
      <w:r w:rsidRPr="006D63F7">
        <w:rPr>
          <w:szCs w:val="20"/>
          <w:lang w:val="en-GB"/>
        </w:rPr>
        <w:t>R4-2413515</w:t>
      </w:r>
      <w:r w:rsidR="001737E0" w:rsidRPr="00A37CEF">
        <w:rPr>
          <w:szCs w:val="20"/>
          <w:lang w:val="en-GB"/>
        </w:rPr>
        <w:t>, “</w:t>
      </w:r>
      <w:r w:rsidR="001737E0" w:rsidRPr="00F10AFF">
        <w:rPr>
          <w:szCs w:val="20"/>
          <w:lang w:val="en-GB"/>
        </w:rPr>
        <w:t>Way Forward for [112][30</w:t>
      </w:r>
      <w:r w:rsidR="001D510D">
        <w:rPr>
          <w:szCs w:val="20"/>
          <w:lang w:val="en-GB"/>
        </w:rPr>
        <w:t>8</w:t>
      </w:r>
      <w:r w:rsidR="001737E0" w:rsidRPr="00F10AFF">
        <w:rPr>
          <w:szCs w:val="20"/>
          <w:lang w:val="en-GB"/>
        </w:rPr>
        <w:t>] NR_duplex_evo_General</w:t>
      </w:r>
      <w:r w:rsidR="001737E0" w:rsidRPr="00A37CEF">
        <w:rPr>
          <w:szCs w:val="20"/>
          <w:lang w:val="en-GB"/>
        </w:rPr>
        <w:t xml:space="preserve">”, </w:t>
      </w:r>
      <w:r w:rsidR="001737E0">
        <w:rPr>
          <w:szCs w:val="20"/>
          <w:lang w:val="en-GB"/>
        </w:rPr>
        <w:t xml:space="preserve">RAN4#112, </w:t>
      </w:r>
      <w:r w:rsidR="00D97ABE">
        <w:rPr>
          <w:szCs w:val="20"/>
          <w:lang w:val="en-GB"/>
        </w:rPr>
        <w:t>Huawei, HiSilicon</w:t>
      </w:r>
      <w:r w:rsidR="001737E0" w:rsidRPr="00A37CEF">
        <w:rPr>
          <w:szCs w:val="20"/>
          <w:lang w:val="en-GB"/>
        </w:rPr>
        <w:t xml:space="preserve">. </w:t>
      </w:r>
    </w:p>
    <w:bookmarkEnd w:id="5"/>
    <w:p w14:paraId="087CC599" w14:textId="77777777" w:rsidR="001737E0" w:rsidRDefault="001737E0" w:rsidP="001737E0">
      <w:pPr>
        <w:pStyle w:val="References"/>
        <w:numPr>
          <w:ilvl w:val="0"/>
          <w:numId w:val="2"/>
        </w:numPr>
        <w:autoSpaceDE/>
        <w:autoSpaceDN/>
        <w:snapToGrid/>
        <w:spacing w:after="80" w:line="256" w:lineRule="auto"/>
      </w:pPr>
      <w:r w:rsidRPr="00A37CEF">
        <w:rPr>
          <w:szCs w:val="20"/>
          <w:lang w:val="en-GB"/>
        </w:rPr>
        <w:t xml:space="preserve">TR 38.858, “Study on evolution of NR duplex operation”, 3GPP. </w:t>
      </w:r>
    </w:p>
    <w:p w14:paraId="7547DE2D" w14:textId="77777777" w:rsidR="00A37CEF" w:rsidRDefault="00A37CEF" w:rsidP="002A0877">
      <w:pPr>
        <w:jc w:val="both"/>
      </w:pPr>
    </w:p>
    <w:sectPr w:rsidR="00A37CEF" w:rsidSect="00370B59">
      <w:headerReference w:type="even" r:id="rId7"/>
      <w:footerReference w:type="even" r:id="rId8"/>
      <w:footerReference w:type="default" r:id="rId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8D98A3" w14:textId="77777777" w:rsidR="00417AEB" w:rsidRDefault="00417AEB">
      <w:pPr>
        <w:spacing w:after="0"/>
      </w:pPr>
      <w:r>
        <w:separator/>
      </w:r>
    </w:p>
  </w:endnote>
  <w:endnote w:type="continuationSeparator" w:id="0">
    <w:p w14:paraId="685144B4" w14:textId="77777777" w:rsidR="00417AEB" w:rsidRDefault="00417A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¾’©‘Ì">
    <w:altName w:val="MS Mincho"/>
    <w:panose1 w:val="00000000000000000000"/>
    <w:charset w:val="80"/>
    <w:family w:val="auto"/>
    <w:notTrueType/>
    <w:pitch w:val="variable"/>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98EDF" w14:textId="77777777" w:rsidR="00146ED2" w:rsidRDefault="00E0451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E84F1" w14:textId="77777777" w:rsidR="00146ED2" w:rsidRDefault="00E0451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6622F3" w14:textId="77777777" w:rsidR="00417AEB" w:rsidRDefault="00417AEB">
      <w:pPr>
        <w:spacing w:after="0"/>
      </w:pPr>
      <w:r>
        <w:separator/>
      </w:r>
    </w:p>
  </w:footnote>
  <w:footnote w:type="continuationSeparator" w:id="0">
    <w:p w14:paraId="559BA816" w14:textId="77777777" w:rsidR="00417AEB" w:rsidRDefault="00417A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64725"/>
    <w:multiLevelType w:val="hybridMultilevel"/>
    <w:tmpl w:val="1EBEC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36914"/>
    <w:multiLevelType w:val="hybridMultilevel"/>
    <w:tmpl w:val="F8F2FDFE"/>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3"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5"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B73482"/>
    <w:multiLevelType w:val="hybridMultilevel"/>
    <w:tmpl w:val="A184DEFE"/>
    <w:lvl w:ilvl="0" w:tplc="73E0C898">
      <w:start w:val="1"/>
      <w:numFmt w:val="bullet"/>
      <w:lvlText w:val=""/>
      <w:lvlJc w:val="left"/>
      <w:pPr>
        <w:ind w:left="360" w:hanging="360"/>
      </w:pPr>
      <w:rPr>
        <w:rFonts w:ascii="Symbol" w:hAnsi="Symbol" w:hint="default"/>
        <w:lang w:val="en-GB"/>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4988422">
    <w:abstractNumId w:val="11"/>
  </w:num>
  <w:num w:numId="2" w16cid:durableId="276178333">
    <w:abstractNumId w:val="0"/>
  </w:num>
  <w:num w:numId="3" w16cid:durableId="741606055">
    <w:abstractNumId w:val="3"/>
  </w:num>
  <w:num w:numId="4" w16cid:durableId="1935287387">
    <w:abstractNumId w:val="17"/>
  </w:num>
  <w:num w:numId="5" w16cid:durableId="1753619575">
    <w:abstractNumId w:val="23"/>
  </w:num>
  <w:num w:numId="6" w16cid:durableId="528227147">
    <w:abstractNumId w:val="7"/>
  </w:num>
  <w:num w:numId="7" w16cid:durableId="1151141409">
    <w:abstractNumId w:val="25"/>
  </w:num>
  <w:num w:numId="8" w16cid:durableId="1326208731">
    <w:abstractNumId w:val="22"/>
  </w:num>
  <w:num w:numId="9" w16cid:durableId="2096242991">
    <w:abstractNumId w:val="19"/>
  </w:num>
  <w:num w:numId="10" w16cid:durableId="964656557">
    <w:abstractNumId w:val="24"/>
  </w:num>
  <w:num w:numId="11" w16cid:durableId="724842134">
    <w:abstractNumId w:val="6"/>
  </w:num>
  <w:num w:numId="12" w16cid:durableId="1263489318">
    <w:abstractNumId w:val="32"/>
  </w:num>
  <w:num w:numId="13" w16cid:durableId="1656177574">
    <w:abstractNumId w:val="5"/>
  </w:num>
  <w:num w:numId="14" w16cid:durableId="1351568597">
    <w:abstractNumId w:val="2"/>
  </w:num>
  <w:num w:numId="15" w16cid:durableId="197086569">
    <w:abstractNumId w:val="8"/>
  </w:num>
  <w:num w:numId="16" w16cid:durableId="1700426356">
    <w:abstractNumId w:val="9"/>
  </w:num>
  <w:num w:numId="17" w16cid:durableId="517815193">
    <w:abstractNumId w:val="10"/>
  </w:num>
  <w:num w:numId="18" w16cid:durableId="1275752242">
    <w:abstractNumId w:val="21"/>
  </w:num>
  <w:num w:numId="19" w16cid:durableId="1417093260">
    <w:abstractNumId w:val="16"/>
  </w:num>
  <w:num w:numId="20" w16cid:durableId="925773427">
    <w:abstractNumId w:val="30"/>
  </w:num>
  <w:num w:numId="21" w16cid:durableId="306326423">
    <w:abstractNumId w:val="4"/>
  </w:num>
  <w:num w:numId="22" w16cid:durableId="1262372539">
    <w:abstractNumId w:val="15"/>
  </w:num>
  <w:num w:numId="23" w16cid:durableId="634524535">
    <w:abstractNumId w:val="14"/>
  </w:num>
  <w:num w:numId="24" w16cid:durableId="1509710620">
    <w:abstractNumId w:val="29"/>
  </w:num>
  <w:num w:numId="25" w16cid:durableId="475488186">
    <w:abstractNumId w:val="27"/>
  </w:num>
  <w:num w:numId="26" w16cid:durableId="577984225">
    <w:abstractNumId w:val="20"/>
  </w:num>
  <w:num w:numId="27" w16cid:durableId="236524678">
    <w:abstractNumId w:val="31"/>
  </w:num>
  <w:num w:numId="28" w16cid:durableId="1915163336">
    <w:abstractNumId w:val="12"/>
  </w:num>
  <w:num w:numId="29" w16cid:durableId="1180585837">
    <w:abstractNumId w:val="13"/>
  </w:num>
  <w:num w:numId="30" w16cid:durableId="130952112">
    <w:abstractNumId w:val="26"/>
  </w:num>
  <w:num w:numId="31" w16cid:durableId="1276710328">
    <w:abstractNumId w:val="1"/>
  </w:num>
  <w:num w:numId="32" w16cid:durableId="837580447">
    <w:abstractNumId w:val="33"/>
  </w:num>
  <w:num w:numId="33" w16cid:durableId="1889873422">
    <w:abstractNumId w:val="28"/>
  </w:num>
  <w:num w:numId="34" w16cid:durableId="18301675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2BE6"/>
    <w:rsid w:val="00004ACF"/>
    <w:rsid w:val="00011B8F"/>
    <w:rsid w:val="00040198"/>
    <w:rsid w:val="00042F87"/>
    <w:rsid w:val="000522DE"/>
    <w:rsid w:val="00071946"/>
    <w:rsid w:val="0007385C"/>
    <w:rsid w:val="00080CD0"/>
    <w:rsid w:val="0008520B"/>
    <w:rsid w:val="00097DDE"/>
    <w:rsid w:val="000B045F"/>
    <w:rsid w:val="000C5F0B"/>
    <w:rsid w:val="000E1A1B"/>
    <w:rsid w:val="00101864"/>
    <w:rsid w:val="00110C08"/>
    <w:rsid w:val="00125EDD"/>
    <w:rsid w:val="00127E88"/>
    <w:rsid w:val="00146ED2"/>
    <w:rsid w:val="0014783E"/>
    <w:rsid w:val="00154124"/>
    <w:rsid w:val="001663D5"/>
    <w:rsid w:val="001737E0"/>
    <w:rsid w:val="00174A48"/>
    <w:rsid w:val="0017600B"/>
    <w:rsid w:val="00176A56"/>
    <w:rsid w:val="00183792"/>
    <w:rsid w:val="001841B1"/>
    <w:rsid w:val="00191713"/>
    <w:rsid w:val="001C19F4"/>
    <w:rsid w:val="001D510D"/>
    <w:rsid w:val="001D54E0"/>
    <w:rsid w:val="001F7C18"/>
    <w:rsid w:val="0020337F"/>
    <w:rsid w:val="00205B4B"/>
    <w:rsid w:val="002137C2"/>
    <w:rsid w:val="00214068"/>
    <w:rsid w:val="00226BAA"/>
    <w:rsid w:val="00227A45"/>
    <w:rsid w:val="0023172D"/>
    <w:rsid w:val="00237667"/>
    <w:rsid w:val="002415E8"/>
    <w:rsid w:val="00253E95"/>
    <w:rsid w:val="002559EB"/>
    <w:rsid w:val="002661E3"/>
    <w:rsid w:val="00271968"/>
    <w:rsid w:val="00275C28"/>
    <w:rsid w:val="00285987"/>
    <w:rsid w:val="002904E7"/>
    <w:rsid w:val="002957BF"/>
    <w:rsid w:val="002A0877"/>
    <w:rsid w:val="002A48E5"/>
    <w:rsid w:val="002B37C9"/>
    <w:rsid w:val="002B7864"/>
    <w:rsid w:val="002D6C8C"/>
    <w:rsid w:val="002E21FA"/>
    <w:rsid w:val="002E379C"/>
    <w:rsid w:val="002E68AC"/>
    <w:rsid w:val="002E7C21"/>
    <w:rsid w:val="002F3C21"/>
    <w:rsid w:val="00301325"/>
    <w:rsid w:val="00302B97"/>
    <w:rsid w:val="0030660F"/>
    <w:rsid w:val="0032021E"/>
    <w:rsid w:val="003228A6"/>
    <w:rsid w:val="00323D8C"/>
    <w:rsid w:val="00370B59"/>
    <w:rsid w:val="00372ECA"/>
    <w:rsid w:val="0039127D"/>
    <w:rsid w:val="003A141C"/>
    <w:rsid w:val="003A66A2"/>
    <w:rsid w:val="003B0C33"/>
    <w:rsid w:val="003B1FFF"/>
    <w:rsid w:val="003B2015"/>
    <w:rsid w:val="003B2119"/>
    <w:rsid w:val="003C7439"/>
    <w:rsid w:val="003E2F06"/>
    <w:rsid w:val="00401DF9"/>
    <w:rsid w:val="00417AEB"/>
    <w:rsid w:val="004207BE"/>
    <w:rsid w:val="00421E71"/>
    <w:rsid w:val="00422733"/>
    <w:rsid w:val="00422C13"/>
    <w:rsid w:val="00447550"/>
    <w:rsid w:val="004563FB"/>
    <w:rsid w:val="00460441"/>
    <w:rsid w:val="00460D91"/>
    <w:rsid w:val="00476B9C"/>
    <w:rsid w:val="004945D2"/>
    <w:rsid w:val="004A56D0"/>
    <w:rsid w:val="004A5F79"/>
    <w:rsid w:val="004A7EA2"/>
    <w:rsid w:val="004C1401"/>
    <w:rsid w:val="004D0585"/>
    <w:rsid w:val="00511429"/>
    <w:rsid w:val="00515DF6"/>
    <w:rsid w:val="00516597"/>
    <w:rsid w:val="00516DAF"/>
    <w:rsid w:val="00523634"/>
    <w:rsid w:val="0052648A"/>
    <w:rsid w:val="00540B8E"/>
    <w:rsid w:val="00543697"/>
    <w:rsid w:val="00543C13"/>
    <w:rsid w:val="00556880"/>
    <w:rsid w:val="00560D4B"/>
    <w:rsid w:val="00582C3B"/>
    <w:rsid w:val="00586E75"/>
    <w:rsid w:val="00593642"/>
    <w:rsid w:val="005C6CB9"/>
    <w:rsid w:val="005D66C2"/>
    <w:rsid w:val="005F730B"/>
    <w:rsid w:val="006107E7"/>
    <w:rsid w:val="00633543"/>
    <w:rsid w:val="00633573"/>
    <w:rsid w:val="0064631E"/>
    <w:rsid w:val="006565AF"/>
    <w:rsid w:val="0066354C"/>
    <w:rsid w:val="00664464"/>
    <w:rsid w:val="00666011"/>
    <w:rsid w:val="00667B84"/>
    <w:rsid w:val="006738CE"/>
    <w:rsid w:val="006818F8"/>
    <w:rsid w:val="00690ED5"/>
    <w:rsid w:val="00692032"/>
    <w:rsid w:val="006A7447"/>
    <w:rsid w:val="006B0E0F"/>
    <w:rsid w:val="006B2638"/>
    <w:rsid w:val="006D2AFF"/>
    <w:rsid w:val="006D63F7"/>
    <w:rsid w:val="006E0AE9"/>
    <w:rsid w:val="006E4349"/>
    <w:rsid w:val="006F730F"/>
    <w:rsid w:val="007018D8"/>
    <w:rsid w:val="00705014"/>
    <w:rsid w:val="0070632C"/>
    <w:rsid w:val="0072106E"/>
    <w:rsid w:val="007354CE"/>
    <w:rsid w:val="007450D2"/>
    <w:rsid w:val="00752961"/>
    <w:rsid w:val="00753211"/>
    <w:rsid w:val="0075682C"/>
    <w:rsid w:val="007621D1"/>
    <w:rsid w:val="00767151"/>
    <w:rsid w:val="00771053"/>
    <w:rsid w:val="00773780"/>
    <w:rsid w:val="00780BBC"/>
    <w:rsid w:val="007901C7"/>
    <w:rsid w:val="007905B1"/>
    <w:rsid w:val="007C432C"/>
    <w:rsid w:val="007E3189"/>
    <w:rsid w:val="007E49C0"/>
    <w:rsid w:val="007F13E3"/>
    <w:rsid w:val="00801478"/>
    <w:rsid w:val="008019AF"/>
    <w:rsid w:val="008032A6"/>
    <w:rsid w:val="00816D3E"/>
    <w:rsid w:val="00821175"/>
    <w:rsid w:val="0082235C"/>
    <w:rsid w:val="00825F5E"/>
    <w:rsid w:val="00880F3A"/>
    <w:rsid w:val="00890214"/>
    <w:rsid w:val="0089771A"/>
    <w:rsid w:val="008B00FC"/>
    <w:rsid w:val="008D6DE6"/>
    <w:rsid w:val="008F1778"/>
    <w:rsid w:val="008F4007"/>
    <w:rsid w:val="009015C8"/>
    <w:rsid w:val="00901F73"/>
    <w:rsid w:val="00904E4C"/>
    <w:rsid w:val="0090669B"/>
    <w:rsid w:val="009152FC"/>
    <w:rsid w:val="0091595A"/>
    <w:rsid w:val="009169F8"/>
    <w:rsid w:val="009214B4"/>
    <w:rsid w:val="00925A3A"/>
    <w:rsid w:val="0093198E"/>
    <w:rsid w:val="00946833"/>
    <w:rsid w:val="009534D5"/>
    <w:rsid w:val="00975340"/>
    <w:rsid w:val="009C07A6"/>
    <w:rsid w:val="009C497B"/>
    <w:rsid w:val="009D7F66"/>
    <w:rsid w:val="009E5680"/>
    <w:rsid w:val="009F0F3F"/>
    <w:rsid w:val="009F1412"/>
    <w:rsid w:val="00A12CCE"/>
    <w:rsid w:val="00A22A4B"/>
    <w:rsid w:val="00A25A5D"/>
    <w:rsid w:val="00A333A3"/>
    <w:rsid w:val="00A37CEF"/>
    <w:rsid w:val="00A5423E"/>
    <w:rsid w:val="00A60640"/>
    <w:rsid w:val="00A76A89"/>
    <w:rsid w:val="00A7799D"/>
    <w:rsid w:val="00A84824"/>
    <w:rsid w:val="00A87452"/>
    <w:rsid w:val="00A951B5"/>
    <w:rsid w:val="00A96DB3"/>
    <w:rsid w:val="00AA5EF7"/>
    <w:rsid w:val="00AA6AEB"/>
    <w:rsid w:val="00AA6CCC"/>
    <w:rsid w:val="00AC576F"/>
    <w:rsid w:val="00AC7ACA"/>
    <w:rsid w:val="00AD546F"/>
    <w:rsid w:val="00AD55E4"/>
    <w:rsid w:val="00AF207B"/>
    <w:rsid w:val="00AF2ADB"/>
    <w:rsid w:val="00AF54AA"/>
    <w:rsid w:val="00AF6269"/>
    <w:rsid w:val="00B336E2"/>
    <w:rsid w:val="00B35350"/>
    <w:rsid w:val="00B42584"/>
    <w:rsid w:val="00B42B77"/>
    <w:rsid w:val="00B4571C"/>
    <w:rsid w:val="00B52C0B"/>
    <w:rsid w:val="00B54521"/>
    <w:rsid w:val="00B6421A"/>
    <w:rsid w:val="00B671A2"/>
    <w:rsid w:val="00B8218A"/>
    <w:rsid w:val="00B93BC9"/>
    <w:rsid w:val="00B93F55"/>
    <w:rsid w:val="00BC19E0"/>
    <w:rsid w:val="00BC26B2"/>
    <w:rsid w:val="00BF05C4"/>
    <w:rsid w:val="00C20293"/>
    <w:rsid w:val="00C22FEE"/>
    <w:rsid w:val="00C42092"/>
    <w:rsid w:val="00C454CD"/>
    <w:rsid w:val="00C476F7"/>
    <w:rsid w:val="00C55129"/>
    <w:rsid w:val="00C65259"/>
    <w:rsid w:val="00C77999"/>
    <w:rsid w:val="00CA463A"/>
    <w:rsid w:val="00CC3ED4"/>
    <w:rsid w:val="00CC5B9A"/>
    <w:rsid w:val="00CE5C29"/>
    <w:rsid w:val="00CE7110"/>
    <w:rsid w:val="00CF325A"/>
    <w:rsid w:val="00CF3E04"/>
    <w:rsid w:val="00CF4976"/>
    <w:rsid w:val="00CF75D3"/>
    <w:rsid w:val="00D10AD0"/>
    <w:rsid w:val="00D15EE0"/>
    <w:rsid w:val="00D25E76"/>
    <w:rsid w:val="00D3736F"/>
    <w:rsid w:val="00D60509"/>
    <w:rsid w:val="00D97ABE"/>
    <w:rsid w:val="00DA31C3"/>
    <w:rsid w:val="00DB3FEB"/>
    <w:rsid w:val="00DC004D"/>
    <w:rsid w:val="00E010D1"/>
    <w:rsid w:val="00E02445"/>
    <w:rsid w:val="00E0451E"/>
    <w:rsid w:val="00E1074C"/>
    <w:rsid w:val="00E210C6"/>
    <w:rsid w:val="00E242F2"/>
    <w:rsid w:val="00E307AE"/>
    <w:rsid w:val="00E324D7"/>
    <w:rsid w:val="00E4434F"/>
    <w:rsid w:val="00E51887"/>
    <w:rsid w:val="00E53794"/>
    <w:rsid w:val="00E57003"/>
    <w:rsid w:val="00E5796C"/>
    <w:rsid w:val="00E751F4"/>
    <w:rsid w:val="00E76E43"/>
    <w:rsid w:val="00E8553E"/>
    <w:rsid w:val="00E97104"/>
    <w:rsid w:val="00EA3C4E"/>
    <w:rsid w:val="00EA5338"/>
    <w:rsid w:val="00EB7153"/>
    <w:rsid w:val="00EC6A56"/>
    <w:rsid w:val="00EC76F4"/>
    <w:rsid w:val="00ED2FC1"/>
    <w:rsid w:val="00ED7681"/>
    <w:rsid w:val="00EE146F"/>
    <w:rsid w:val="00EF442F"/>
    <w:rsid w:val="00EF49CD"/>
    <w:rsid w:val="00F0171B"/>
    <w:rsid w:val="00F0613B"/>
    <w:rsid w:val="00F12745"/>
    <w:rsid w:val="00F44EF7"/>
    <w:rsid w:val="00F47183"/>
    <w:rsid w:val="00F51347"/>
    <w:rsid w:val="00F5459B"/>
    <w:rsid w:val="00F8145A"/>
    <w:rsid w:val="00F965A9"/>
    <w:rsid w:val="00FB7F18"/>
    <w:rsid w:val="00FC4FAD"/>
    <w:rsid w:val="00FC7347"/>
    <w:rsid w:val="00FE5EE9"/>
    <w:rsid w:val="00FE6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592D8395-509E-4F6B-91B0-F75564663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semiHidden/>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qFormat/>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qFormat/>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 w:type="paragraph" w:customStyle="1" w:styleId="Proposal">
    <w:name w:val="Proposal"/>
    <w:basedOn w:val="BodyText"/>
    <w:qFormat/>
    <w:rsid w:val="00780BBC"/>
    <w:pPr>
      <w:numPr>
        <w:numId w:val="34"/>
      </w:numPr>
      <w:tabs>
        <w:tab w:val="left" w:pos="1701"/>
      </w:tabs>
      <w:overflowPunct/>
      <w:autoSpaceDE/>
      <w:autoSpaceDN/>
      <w:adjustRightInd/>
      <w:spacing w:line="259" w:lineRule="auto"/>
      <w:textAlignment w:val="auto"/>
    </w:pPr>
    <w:rPr>
      <w:rFonts w:ascii="Arial" w:hAnsi="Arial" w:cstheme="minorBidi"/>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946</TotalTime>
  <Pages>3</Pages>
  <Words>1251</Words>
  <Characters>7131</Characters>
  <Application>Microsoft Office Word</Application>
  <DocSecurity>0</DocSecurity>
  <Lines>59</Lines>
  <Paragraphs>16</Paragraphs>
  <ScaleCrop>false</ScaleCrop>
  <Company>Qualcomm Incorporated</Company>
  <LinksUpToDate>false</LinksUpToDate>
  <CharactersWithSpaces>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281</cp:revision>
  <dcterms:created xsi:type="dcterms:W3CDTF">2024-03-19T10:25:00Z</dcterms:created>
  <dcterms:modified xsi:type="dcterms:W3CDTF">2024-10-07T11:06:00Z</dcterms:modified>
</cp:coreProperties>
</file>